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700AC" w14:textId="77777777" w:rsidR="00A42048" w:rsidRDefault="00A42048" w:rsidP="008C0B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58198FC" w14:textId="77777777" w:rsidR="00A42048" w:rsidRDefault="00A4204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D6AE7F" w14:textId="77777777" w:rsidR="00A42048" w:rsidRDefault="00A4204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41E38459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915069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0510A8FB" w14:textId="77777777" w:rsidR="005E027F" w:rsidRPr="007D7F5E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05327027" w:rsidR="005E027F" w:rsidRPr="007D7F5E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915069">
        <w:rPr>
          <w:rFonts w:ascii="Times New Roman" w:hAnsi="Times New Roman" w:cs="Times New Roman"/>
          <w:b/>
          <w:bCs/>
          <w:kern w:val="28"/>
          <w:sz w:val="24"/>
          <w:szCs w:val="24"/>
        </w:rPr>
        <w:t>11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8D7430">
        <w:rPr>
          <w:rFonts w:ascii="Times New Roman" w:hAnsi="Times New Roman" w:cs="Times New Roman"/>
          <w:b/>
          <w:bCs/>
          <w:kern w:val="28"/>
          <w:sz w:val="24"/>
          <w:szCs w:val="24"/>
        </w:rPr>
        <w:t>março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545CB839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916191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F51196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F51196">
        <w:rPr>
          <w:rFonts w:ascii="Times New Roman" w:hAnsi="Times New Roman" w:cs="Times New Roman"/>
          <w:kern w:val="28"/>
          <w:sz w:val="24"/>
          <w:szCs w:val="24"/>
        </w:rPr>
        <w:t>-PSD 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RD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>Presi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 xml:space="preserve">ente da Mesa Diretaora-2024,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Lemos-MDB, além do Vereador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Corrêa-MDB. 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 xml:space="preserve">Presentes, ainda, atendendo a convite formulado mediante requerimento n.º 119/2024, o Prefeito Municipal, Marcus Vinícius Godoy de Aguiar-PSDB, bem como, o Secretário Municipal de Desenvolvimento Econômico e Turismo, também Presidente do Fundo Municipal de Desenvolvimento Econômico, </w:t>
      </w:r>
      <w:proofErr w:type="spellStart"/>
      <w:r w:rsidR="00915069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915069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>lmeida, convocado pelo mesmo instrumento antes descrito</w:t>
      </w:r>
      <w:r w:rsidR="00473A45">
        <w:rPr>
          <w:rFonts w:ascii="Times New Roman" w:hAnsi="Times New Roman" w:cs="Times New Roman"/>
          <w:kern w:val="28"/>
          <w:sz w:val="24"/>
          <w:szCs w:val="24"/>
        </w:rPr>
        <w:t>, para prestar informações sobre os Projetos de Lei n.º 017 a 020/2024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>. Da mesma forma, participaram da reunião, o P</w:t>
      </w:r>
      <w:r w:rsidR="00473A45">
        <w:rPr>
          <w:rFonts w:ascii="Times New Roman" w:hAnsi="Times New Roman" w:cs="Times New Roman"/>
          <w:kern w:val="28"/>
          <w:sz w:val="24"/>
          <w:szCs w:val="24"/>
        </w:rPr>
        <w:t xml:space="preserve">residente 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 xml:space="preserve">da </w:t>
      </w:r>
      <w:r w:rsidR="00473A45">
        <w:rPr>
          <w:rFonts w:ascii="Times New Roman" w:hAnsi="Times New Roman" w:cs="Times New Roman"/>
          <w:kern w:val="28"/>
          <w:sz w:val="24"/>
          <w:szCs w:val="24"/>
        </w:rPr>
        <w:t xml:space="preserve">Cooperativa Agropecuária Pioneira Ltda.-CAPIL, </w:t>
      </w:r>
      <w:proofErr w:type="spellStart"/>
      <w:r w:rsidR="00473A45">
        <w:rPr>
          <w:rFonts w:ascii="Times New Roman" w:hAnsi="Times New Roman" w:cs="Times New Roman"/>
          <w:kern w:val="28"/>
          <w:sz w:val="24"/>
          <w:szCs w:val="24"/>
        </w:rPr>
        <w:t>Willi</w:t>
      </w:r>
      <w:proofErr w:type="spellEnd"/>
      <w:r w:rsidR="00473A4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473A45">
        <w:rPr>
          <w:rFonts w:ascii="Times New Roman" w:hAnsi="Times New Roman" w:cs="Times New Roman"/>
          <w:kern w:val="28"/>
          <w:sz w:val="24"/>
          <w:szCs w:val="24"/>
        </w:rPr>
        <w:t>Janzen</w:t>
      </w:r>
      <w:proofErr w:type="spellEnd"/>
      <w:r w:rsidR="00473A45">
        <w:rPr>
          <w:rFonts w:ascii="Times New Roman" w:hAnsi="Times New Roman" w:cs="Times New Roman"/>
          <w:kern w:val="28"/>
          <w:sz w:val="24"/>
          <w:szCs w:val="24"/>
        </w:rPr>
        <w:t xml:space="preserve"> e das Associações dos Produtores do Rincão dos Cravos, Cláudio Jesus Silva Peres, da Agropecuária de Produtores de Leite, Avelino </w:t>
      </w:r>
      <w:proofErr w:type="spellStart"/>
      <w:r w:rsidR="00473A45">
        <w:rPr>
          <w:rFonts w:ascii="Times New Roman" w:hAnsi="Times New Roman" w:cs="Times New Roman"/>
          <w:kern w:val="28"/>
          <w:sz w:val="24"/>
          <w:szCs w:val="24"/>
        </w:rPr>
        <w:t>Ardenghi</w:t>
      </w:r>
      <w:proofErr w:type="spellEnd"/>
      <w:r w:rsidR="00473A45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FE24B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73A45">
        <w:rPr>
          <w:rFonts w:ascii="Times New Roman" w:hAnsi="Times New Roman" w:cs="Times New Roman"/>
          <w:kern w:val="28"/>
          <w:sz w:val="24"/>
          <w:szCs w:val="24"/>
        </w:rPr>
        <w:t xml:space="preserve"> dos Produtores Rurais do Minuano, Vilson Kuhn, acompanhado do Secretário</w:t>
      </w:r>
      <w:r w:rsidR="00FE24BC">
        <w:rPr>
          <w:rFonts w:ascii="Times New Roman" w:hAnsi="Times New Roman" w:cs="Times New Roman"/>
          <w:kern w:val="28"/>
          <w:sz w:val="24"/>
          <w:szCs w:val="24"/>
        </w:rPr>
        <w:t xml:space="preserve"> da entidade</w:t>
      </w:r>
      <w:r w:rsidR="00473A45">
        <w:rPr>
          <w:rFonts w:ascii="Times New Roman" w:hAnsi="Times New Roman" w:cs="Times New Roman"/>
          <w:kern w:val="28"/>
          <w:sz w:val="24"/>
          <w:szCs w:val="24"/>
        </w:rPr>
        <w:t xml:space="preserve">, Roberto </w:t>
      </w:r>
      <w:proofErr w:type="spellStart"/>
      <w:r w:rsidR="00473A45">
        <w:rPr>
          <w:rFonts w:ascii="Times New Roman" w:hAnsi="Times New Roman" w:cs="Times New Roman"/>
          <w:kern w:val="28"/>
          <w:sz w:val="24"/>
          <w:szCs w:val="24"/>
        </w:rPr>
        <w:t>Frisen</w:t>
      </w:r>
      <w:proofErr w:type="spellEnd"/>
      <w:r w:rsidR="00473A45">
        <w:rPr>
          <w:rFonts w:ascii="Times New Roman" w:hAnsi="Times New Roman" w:cs="Times New Roman"/>
          <w:kern w:val="28"/>
          <w:sz w:val="24"/>
          <w:szCs w:val="24"/>
        </w:rPr>
        <w:t>, atendendo aos convites formulados conforme os requerimentos protocolados sob n.º 12</w:t>
      </w:r>
      <w:r w:rsidR="001B780F">
        <w:rPr>
          <w:rFonts w:ascii="Times New Roman" w:hAnsi="Times New Roman" w:cs="Times New Roman"/>
          <w:kern w:val="28"/>
          <w:sz w:val="24"/>
          <w:szCs w:val="24"/>
        </w:rPr>
        <w:t>0 a 123/2024, respectivamente, para prestar esclarecimentos sobre as entidades que representam, alu</w:t>
      </w:r>
      <w:r w:rsidR="001B780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B780F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1B780F">
        <w:rPr>
          <w:rFonts w:ascii="Times New Roman" w:hAnsi="Times New Roman" w:cs="Times New Roman"/>
          <w:kern w:val="28"/>
          <w:sz w:val="24"/>
          <w:szCs w:val="24"/>
        </w:rPr>
        <w:t>v</w:t>
      </w:r>
      <w:r w:rsidR="001B780F">
        <w:rPr>
          <w:rFonts w:ascii="Times New Roman" w:hAnsi="Times New Roman" w:cs="Times New Roman"/>
          <w:kern w:val="28"/>
          <w:sz w:val="24"/>
          <w:szCs w:val="24"/>
        </w:rPr>
        <w:t xml:space="preserve">as 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780F">
        <w:rPr>
          <w:rFonts w:ascii="Times New Roman" w:hAnsi="Times New Roman" w:cs="Times New Roman"/>
          <w:kern w:val="28"/>
          <w:sz w:val="24"/>
          <w:szCs w:val="24"/>
        </w:rPr>
        <w:t>aos projetos de 017 a 020/2024, benefici</w:t>
      </w:r>
      <w:r w:rsidR="00FE24BC">
        <w:rPr>
          <w:rFonts w:ascii="Times New Roman" w:hAnsi="Times New Roman" w:cs="Times New Roman"/>
          <w:kern w:val="28"/>
          <w:sz w:val="24"/>
          <w:szCs w:val="24"/>
        </w:rPr>
        <w:t>árias direta</w:t>
      </w:r>
      <w:r w:rsidR="001B780F">
        <w:rPr>
          <w:rFonts w:ascii="Times New Roman" w:hAnsi="Times New Roman" w:cs="Times New Roman"/>
          <w:kern w:val="28"/>
          <w:sz w:val="24"/>
          <w:szCs w:val="24"/>
        </w:rPr>
        <w:t xml:space="preserve">s da aprovação desses projetos.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abriu espaço ao Prefeito Municipal e aos demais convidados, oportunidade em que todos expuseram a situação de suas representadas, tendo inúmeras perguntas sido formuladas, recebendo a pronta resposta aos questionamentos. Na sequência, a Presidente agradeceu a participação de todos e pelos esclarecimentos prestados. Retomando, a pauta da reunião,</w:t>
      </w:r>
      <w:r w:rsidR="006200D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procedeu 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Ato contínuo,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apresentou 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os projetos em análise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sendo: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010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>Cria cargos e vaga no anexo II da Lei Municipal n.º 108/2002 de 1.º de outubro de 2002</w:t>
      </w:r>
      <w:r w:rsidR="008D6E91">
        <w:rPr>
          <w:rFonts w:ascii="Times New Roman" w:hAnsi="Times New Roman" w:cs="Times New Roman"/>
          <w:kern w:val="28"/>
          <w:sz w:val="24"/>
          <w:szCs w:val="24"/>
        </w:rPr>
        <w:t xml:space="preserve">”. Após considerações, 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>a Comissão decidiu solicitar à Mesa Diretora, mediante requerimento de n.º 13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>/2024, o envio de expediente ao Poder Executivo, solicitando a adequação do Projeto, conforme orientação técnica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 xml:space="preserve"> do Instituto Gama de Assessoria a órgãos públicos-IGAM,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 xml:space="preserve"> n.º 4.445, especificamente no que se refere a inserção na LDO-2024; 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>PL n.º 01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 xml:space="preserve">/2024 – Do PODER EXECUTIVO – “Cria vaga e 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>extingue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>cargo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 xml:space="preserve">no anexo II da Lei Municipal n.º 108/2002 de 1.º de outubro de 2002”. Após 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>análise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 xml:space="preserve">, a Comissão decidiu solicitar à Mesa Diretora, 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>através do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 xml:space="preserve"> requerimento 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>protocolado sob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 xml:space="preserve"> n.º 13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>/2024, o envio de expediente ao Poder Executivo, solicitando a adequação do Projeto, conforme orientação técnica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 xml:space="preserve"> do IGAM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 xml:space="preserve"> 4.4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>, especificamente no que se refere a inserção na LDO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>-2024;</w:t>
      </w:r>
      <w:r w:rsidR="0084421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47D5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>14</w:t>
      </w:r>
      <w:r w:rsidR="00F47D5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F47D5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“Altera 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 xml:space="preserve">parcialmente a Lei Municipal n.º 108, de 1.º de outubro de 2002 </w:t>
      </w:r>
      <w:r w:rsidR="00F47D55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 xml:space="preserve">. Igualmente, a Comissão 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>decidiu pedir à Mesa Diretora, o envio de expediente ao Poder Executivo, solicitando a adequação do mesmo,</w:t>
      </w:r>
      <w:r w:rsidR="00A813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lastRenderedPageBreak/>
        <w:t>segundo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 xml:space="preserve"> orientação técnica do IGAM</w:t>
      </w:r>
      <w:r w:rsidR="00A813B0">
        <w:rPr>
          <w:rFonts w:ascii="Times New Roman" w:hAnsi="Times New Roman" w:cs="Times New Roman"/>
          <w:kern w:val="28"/>
          <w:sz w:val="24"/>
          <w:szCs w:val="24"/>
        </w:rPr>
        <w:t>, n.º 4.452/2024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47D5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>15</w:t>
      </w:r>
      <w:r w:rsidR="00F47D5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F47D5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>Cria vaga e extingue cargo no anexo II da Lei Municipal n.º 108, de 1.º de outubro de 2002</w:t>
      </w:r>
      <w:r w:rsidR="00F47D55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 xml:space="preserve">. Da mesma forma, </w:t>
      </w:r>
      <w:r w:rsidR="00A813B0">
        <w:rPr>
          <w:rFonts w:ascii="Times New Roman" w:hAnsi="Times New Roman" w:cs="Times New Roman"/>
          <w:kern w:val="28"/>
          <w:sz w:val="24"/>
          <w:szCs w:val="24"/>
        </w:rPr>
        <w:t xml:space="preserve">a Comissão optou por requer à Mesa Diretora, </w:t>
      </w:r>
      <w:r w:rsidR="00A813B0">
        <w:rPr>
          <w:rFonts w:ascii="Times New Roman" w:hAnsi="Times New Roman" w:cs="Times New Roman"/>
          <w:kern w:val="28"/>
          <w:sz w:val="24"/>
          <w:szCs w:val="24"/>
        </w:rPr>
        <w:t>através do requerimento protocolado sob n.º 13</w:t>
      </w:r>
      <w:r w:rsidR="00A813B0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A813B0">
        <w:rPr>
          <w:rFonts w:ascii="Times New Roman" w:hAnsi="Times New Roman" w:cs="Times New Roman"/>
          <w:kern w:val="28"/>
          <w:sz w:val="24"/>
          <w:szCs w:val="24"/>
        </w:rPr>
        <w:t>/2024, o envio de expediente ao Poder Executivo, solicitando a adequação do Projeto, conforme orientação técnica do IGAM n.º 4.45</w:t>
      </w:r>
      <w:r w:rsidR="00A813B0">
        <w:rPr>
          <w:rFonts w:ascii="Times New Roman" w:hAnsi="Times New Roman" w:cs="Times New Roman"/>
          <w:kern w:val="28"/>
          <w:sz w:val="24"/>
          <w:szCs w:val="24"/>
        </w:rPr>
        <w:t>4/2024</w:t>
      </w:r>
      <w:r w:rsidR="00A813B0">
        <w:rPr>
          <w:rFonts w:ascii="Times New Roman" w:hAnsi="Times New Roman" w:cs="Times New Roman"/>
          <w:kern w:val="28"/>
          <w:sz w:val="24"/>
          <w:szCs w:val="24"/>
        </w:rPr>
        <w:t>, especificamente no que se refere a inserção na LDO-2024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47D5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>16</w:t>
      </w:r>
      <w:r w:rsidR="00F47D5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F47D5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F47D55">
        <w:rPr>
          <w:rFonts w:ascii="Times New Roman" w:hAnsi="Times New Roman" w:cs="Times New Roman"/>
          <w:kern w:val="28"/>
          <w:sz w:val="24"/>
          <w:szCs w:val="24"/>
        </w:rPr>
        <w:t>Institui o sítio oficial do Poder Executivo Municipal e cria o Diário Oficial Ele</w:t>
      </w:r>
      <w:r w:rsidR="00AD04D7">
        <w:rPr>
          <w:rFonts w:ascii="Times New Roman" w:hAnsi="Times New Roman" w:cs="Times New Roman"/>
          <w:kern w:val="28"/>
          <w:sz w:val="24"/>
          <w:szCs w:val="24"/>
        </w:rPr>
        <w:t xml:space="preserve">trônico do município de </w:t>
      </w:r>
      <w:proofErr w:type="spellStart"/>
      <w:r w:rsidR="00AD04D7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AD04D7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77D1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A71213">
        <w:rPr>
          <w:rFonts w:ascii="Times New Roman" w:hAnsi="Times New Roman" w:cs="Times New Roman"/>
          <w:kern w:val="28"/>
          <w:sz w:val="24"/>
          <w:szCs w:val="24"/>
        </w:rPr>
        <w:t xml:space="preserve"> Depois de análise, a Comissão </w:t>
      </w:r>
      <w:r w:rsidR="00A813B0">
        <w:rPr>
          <w:rFonts w:ascii="Times New Roman" w:hAnsi="Times New Roman" w:cs="Times New Roman"/>
          <w:kern w:val="28"/>
          <w:sz w:val="24"/>
          <w:szCs w:val="24"/>
        </w:rPr>
        <w:t>decidiu aguardar a orientação técnica do IGAM</w:t>
      </w:r>
      <w:r w:rsidR="0063277A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3277A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3277A">
        <w:rPr>
          <w:rFonts w:ascii="Times New Roman" w:hAnsi="Times New Roman" w:cs="Times New Roman"/>
          <w:kern w:val="28"/>
          <w:sz w:val="24"/>
          <w:szCs w:val="24"/>
        </w:rPr>
        <w:t>17</w:t>
      </w:r>
      <w:r w:rsidR="0063277A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3277A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63277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“Altera </w:t>
      </w:r>
      <w:r w:rsidR="0063277A">
        <w:rPr>
          <w:rFonts w:ascii="Times New Roman" w:hAnsi="Times New Roman" w:cs="Times New Roman"/>
          <w:kern w:val="28"/>
          <w:sz w:val="24"/>
          <w:szCs w:val="24"/>
        </w:rPr>
        <w:t>a Lei Municipal n.º 1.729/2019</w:t>
      </w:r>
      <w:r w:rsidR="0063277A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17700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7700E">
        <w:rPr>
          <w:rFonts w:ascii="Times New Roman" w:hAnsi="Times New Roman" w:cs="Times New Roman"/>
          <w:kern w:val="28"/>
          <w:sz w:val="24"/>
          <w:szCs w:val="24"/>
        </w:rPr>
        <w:t>Voto do Relator: Pel</w:t>
      </w:r>
      <w:r w:rsidR="0017700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770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700E">
        <w:rPr>
          <w:rFonts w:ascii="Times New Roman" w:hAnsi="Times New Roman" w:cs="Times New Roman"/>
          <w:kern w:val="28"/>
          <w:sz w:val="24"/>
          <w:szCs w:val="24"/>
        </w:rPr>
        <w:t xml:space="preserve">constitucionalidade, legalidade e 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regimentalidade da</w:t>
      </w:r>
      <w:r w:rsidR="0017700E">
        <w:rPr>
          <w:rFonts w:ascii="Times New Roman" w:hAnsi="Times New Roman" w:cs="Times New Roman"/>
          <w:kern w:val="28"/>
          <w:sz w:val="24"/>
          <w:szCs w:val="24"/>
        </w:rPr>
        <w:t xml:space="preserve"> matéria. Parecer da Comissão: Mantém o voto do relator;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>18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“Altera 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>a Lei Municipal n.º 1.730/2019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>19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“Altera 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>a Lei Municipal n.º 1.731/2019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>20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“Altera 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>a Lei Municipal n.º 1.732/2019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6F46C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</w:t>
      </w:r>
      <w:r w:rsidR="00A32874" w:rsidRPr="00A3287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3287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A3287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A3287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 xml:space="preserve">Cria 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o Fundo Municipal da Educação-FME</w:t>
      </w:r>
      <w:r w:rsidR="00A32874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 xml:space="preserve">. Da mesma forma, a Comissão optou por 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pedir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 xml:space="preserve"> à Mesa Diretora, 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 xml:space="preserve">de acordo com 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o requerimento protocolado sob n.º 1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40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 xml:space="preserve">/2024, o envio de expediente ao Poder Executivo, solicitando 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que informe se dita criação está prevista no PPA -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 xml:space="preserve">2024, bem como, na LDO e LOA, para o presente exercício; </w:t>
      </w:r>
      <w:r w:rsidR="00A3287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A3287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A3287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Dispõe sobre o Plano Municipal de Desenvolvimento Rural</w:t>
      </w:r>
      <w:r w:rsidR="00A32874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A32874">
        <w:rPr>
          <w:rFonts w:ascii="Times New Roman" w:hAnsi="Times New Roman" w:cs="Times New Roman"/>
          <w:kern w:val="28"/>
          <w:sz w:val="24"/>
          <w:szCs w:val="24"/>
        </w:rPr>
        <w:t xml:space="preserve"> Na ocasião, o Vereador Relator, solicitou a utilização de prazo regimental. </w:t>
      </w:r>
      <w:r w:rsidR="001B3434">
        <w:rPr>
          <w:rFonts w:ascii="Times New Roman" w:hAnsi="Times New Roman" w:cs="Times New Roman"/>
          <w:kern w:val="28"/>
          <w:sz w:val="24"/>
          <w:szCs w:val="24"/>
        </w:rPr>
        <w:t xml:space="preserve">Continuamente, a Comissão exarou a </w:t>
      </w:r>
      <w:r w:rsidR="008C0B16">
        <w:rPr>
          <w:rFonts w:ascii="Times New Roman" w:hAnsi="Times New Roman" w:cs="Times New Roman"/>
          <w:kern w:val="28"/>
          <w:sz w:val="24"/>
          <w:szCs w:val="24"/>
        </w:rPr>
        <w:t xml:space="preserve">REDAÇÃO FINAL| </w:t>
      </w:r>
      <w:r w:rsidR="001B3434">
        <w:rPr>
          <w:rFonts w:ascii="Times New Roman" w:hAnsi="Times New Roman" w:cs="Times New Roman"/>
          <w:kern w:val="28"/>
          <w:sz w:val="24"/>
          <w:szCs w:val="24"/>
        </w:rPr>
        <w:t xml:space="preserve">sobre os seguintes projetos de Lei: </w:t>
      </w:r>
      <w:r w:rsidR="008C0B16" w:rsidRPr="00F32C92">
        <w:rPr>
          <w:rFonts w:ascii="Times New Roman" w:hAnsi="Times New Roman" w:cs="Times New Roman"/>
          <w:bCs/>
          <w:sz w:val="24"/>
          <w:szCs w:val="24"/>
        </w:rPr>
        <w:t xml:space="preserve">PL n.º 105/2023 - </w:t>
      </w:r>
      <w:r w:rsidR="008C0B16" w:rsidRPr="00F32C92">
        <w:rPr>
          <w:rFonts w:ascii="Times New Roman" w:hAnsi="Times New Roman" w:cs="Times New Roman"/>
          <w:sz w:val="24"/>
          <w:szCs w:val="24"/>
        </w:rPr>
        <w:t>PODER EXECUTIVO “</w:t>
      </w:r>
      <w:r w:rsidR="008C0B16" w:rsidRPr="00F32C92">
        <w:rPr>
          <w:rFonts w:ascii="Times New Roman" w:hAnsi="Times New Roman" w:cs="Times New Roman"/>
          <w:sz w:val="24"/>
          <w:szCs w:val="24"/>
          <w:shd w:val="clear" w:color="auto" w:fill="FFFFFF"/>
        </w:rPr>
        <w:t>Autoriza a contração emergencial de professores;</w:t>
      </w:r>
      <w:r w:rsidR="008C0B16" w:rsidRPr="00F32C92">
        <w:rPr>
          <w:rFonts w:ascii="Times New Roman" w:hAnsi="Times New Roman" w:cs="Times New Roman"/>
          <w:bCs/>
          <w:sz w:val="24"/>
          <w:szCs w:val="24"/>
        </w:rPr>
        <w:t xml:space="preserve"> PL n.º 001/2024 - </w:t>
      </w:r>
      <w:r w:rsidR="008C0B16" w:rsidRPr="00F32C92">
        <w:rPr>
          <w:rFonts w:ascii="Times New Roman" w:hAnsi="Times New Roman" w:cs="Times New Roman"/>
          <w:sz w:val="24"/>
          <w:szCs w:val="24"/>
        </w:rPr>
        <w:t xml:space="preserve"> PODER EXECUTIVO - </w:t>
      </w:r>
      <w:r w:rsidR="008C0B16" w:rsidRPr="00F32C92">
        <w:rPr>
          <w:rFonts w:ascii="Times New Roman" w:hAnsi="Times New Roman" w:cs="Times New Roman"/>
          <w:sz w:val="24"/>
          <w:szCs w:val="24"/>
          <w:shd w:val="clear" w:color="auto" w:fill="FFFFFF"/>
        </w:rPr>
        <w:t>"Altera a lei municipal n.º 1.746 de 20 de dezembro de 2019 que Institui o auxílio alimentação aos servidores municipais</w:t>
      </w:r>
      <w:r w:rsidR="008C0B16" w:rsidRPr="00F32C92">
        <w:rPr>
          <w:rFonts w:ascii="Times New Roman" w:hAnsi="Times New Roman" w:cs="Times New Roman"/>
          <w:sz w:val="24"/>
          <w:szCs w:val="24"/>
        </w:rPr>
        <w:t xml:space="preserve">”; </w:t>
      </w:r>
      <w:r w:rsidR="008C0B16" w:rsidRPr="00F32C92">
        <w:rPr>
          <w:rFonts w:ascii="Times New Roman" w:hAnsi="Times New Roman" w:cs="Times New Roman"/>
          <w:bCs/>
          <w:sz w:val="24"/>
          <w:szCs w:val="24"/>
        </w:rPr>
        <w:t xml:space="preserve">PL n.º 002/2024 - </w:t>
      </w:r>
      <w:r w:rsidR="008C0B16" w:rsidRPr="00F32C92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8C0B16" w:rsidRPr="00F32C92">
        <w:rPr>
          <w:rFonts w:ascii="Times New Roman" w:hAnsi="Times New Roman" w:cs="Times New Roman"/>
          <w:sz w:val="24"/>
          <w:szCs w:val="24"/>
          <w:shd w:val="clear" w:color="auto" w:fill="FFFFFF"/>
        </w:rPr>
        <w:t>"Autoriza a contratação emergencial de pedreiro</w:t>
      </w:r>
      <w:r w:rsidR="008C0B16" w:rsidRPr="00F32C92">
        <w:rPr>
          <w:rFonts w:ascii="Times New Roman" w:hAnsi="Times New Roman" w:cs="Times New Roman"/>
          <w:sz w:val="24"/>
          <w:szCs w:val="24"/>
        </w:rPr>
        <w:t>”; PL</w:t>
      </w:r>
      <w:r w:rsidR="008C0B16" w:rsidRPr="00F32C92">
        <w:rPr>
          <w:rFonts w:ascii="Times New Roman" w:hAnsi="Times New Roman" w:cs="Times New Roman"/>
          <w:bCs/>
          <w:sz w:val="24"/>
          <w:szCs w:val="24"/>
        </w:rPr>
        <w:t xml:space="preserve"> n.º 003/2024 – </w:t>
      </w:r>
      <w:r w:rsidR="008C0B16" w:rsidRPr="00F32C92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8C0B16" w:rsidRPr="00F32C92">
        <w:rPr>
          <w:rFonts w:ascii="Times New Roman" w:hAnsi="Times New Roman" w:cs="Times New Roman"/>
          <w:sz w:val="24"/>
          <w:szCs w:val="24"/>
          <w:shd w:val="clear" w:color="auto" w:fill="FFFFFF"/>
        </w:rPr>
        <w:t>"Autoriza abertura de crédito adicional de natureza especial no valor de R$150.000,00</w:t>
      </w:r>
      <w:r w:rsidR="008C0B16" w:rsidRPr="00F32C92">
        <w:rPr>
          <w:rFonts w:ascii="Times New Roman" w:hAnsi="Times New Roman" w:cs="Times New Roman"/>
          <w:sz w:val="24"/>
          <w:szCs w:val="24"/>
        </w:rPr>
        <w:t xml:space="preserve">”; </w:t>
      </w:r>
      <w:r w:rsidR="008C0B16" w:rsidRPr="00F32C92">
        <w:rPr>
          <w:rFonts w:ascii="Times New Roman" w:hAnsi="Times New Roman" w:cs="Times New Roman"/>
          <w:bCs/>
          <w:sz w:val="24"/>
          <w:szCs w:val="24"/>
        </w:rPr>
        <w:t xml:space="preserve">PL n.º 004/2024 - </w:t>
      </w:r>
      <w:r w:rsidR="008C0B16" w:rsidRPr="00F32C92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8C0B16" w:rsidRPr="00F32C92">
        <w:rPr>
          <w:rFonts w:ascii="Times New Roman" w:hAnsi="Times New Roman" w:cs="Times New Roman"/>
          <w:sz w:val="24"/>
          <w:szCs w:val="24"/>
          <w:shd w:val="clear" w:color="auto" w:fill="FFFFFF"/>
        </w:rPr>
        <w:t>"Autoriza abertura de crédito adicional de natureza suplementar no valor de R$2.260.896,00</w:t>
      </w:r>
      <w:r w:rsidR="008C0B16" w:rsidRPr="00F32C92">
        <w:rPr>
          <w:rFonts w:ascii="Times New Roman" w:hAnsi="Times New Roman" w:cs="Times New Roman"/>
          <w:sz w:val="24"/>
          <w:szCs w:val="24"/>
        </w:rPr>
        <w:t>”; PL</w:t>
      </w:r>
      <w:r w:rsidR="008C0B16" w:rsidRPr="00F32C92">
        <w:rPr>
          <w:rFonts w:ascii="Times New Roman" w:hAnsi="Times New Roman" w:cs="Times New Roman"/>
          <w:bCs/>
          <w:sz w:val="24"/>
          <w:szCs w:val="24"/>
        </w:rPr>
        <w:t xml:space="preserve"> n.º 005/2024 - </w:t>
      </w:r>
      <w:r w:rsidR="008C0B16" w:rsidRPr="00F32C92">
        <w:rPr>
          <w:rFonts w:ascii="Times New Roman" w:hAnsi="Times New Roman" w:cs="Times New Roman"/>
          <w:sz w:val="24"/>
          <w:szCs w:val="24"/>
        </w:rPr>
        <w:t>PODER EXECUTIVO -</w:t>
      </w:r>
      <w:r w:rsidR="008C0B16" w:rsidRPr="00F32C92">
        <w:rPr>
          <w:rFonts w:ascii="Times New Roman" w:hAnsi="Times New Roman" w:cs="Times New Roman"/>
          <w:sz w:val="24"/>
          <w:szCs w:val="24"/>
          <w:shd w:val="clear" w:color="auto" w:fill="FFFFFF"/>
        </w:rPr>
        <w:t>"Autoriza abertura de crédito adicional de natureza suplementar no valor de R$1.010.000,00</w:t>
      </w:r>
      <w:r w:rsidR="008C0B16" w:rsidRPr="00F32C92">
        <w:rPr>
          <w:rFonts w:ascii="Times New Roman" w:hAnsi="Times New Roman" w:cs="Times New Roman"/>
          <w:sz w:val="24"/>
          <w:szCs w:val="24"/>
        </w:rPr>
        <w:t>”; PL</w:t>
      </w:r>
      <w:r w:rsidR="008C0B16" w:rsidRPr="00F32C92">
        <w:rPr>
          <w:rFonts w:ascii="Times New Roman" w:hAnsi="Times New Roman" w:cs="Times New Roman"/>
          <w:bCs/>
          <w:sz w:val="24"/>
          <w:szCs w:val="24"/>
        </w:rPr>
        <w:t xml:space="preserve"> n.º 006/2024 – </w:t>
      </w:r>
      <w:r w:rsidR="008C0B16" w:rsidRPr="00F32C92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8C0B16" w:rsidRPr="00F32C92">
        <w:rPr>
          <w:rFonts w:ascii="Times New Roman" w:hAnsi="Times New Roman" w:cs="Times New Roman"/>
          <w:sz w:val="24"/>
          <w:szCs w:val="24"/>
          <w:shd w:val="clear" w:color="auto" w:fill="FFFFFF"/>
        </w:rPr>
        <w:t>"Autoriza abertura de crédito adicional de natureza suplementar no valor de R$248.700,00</w:t>
      </w:r>
      <w:r w:rsidR="008C0B16" w:rsidRPr="00F32C92">
        <w:rPr>
          <w:rFonts w:ascii="Times New Roman" w:hAnsi="Times New Roman" w:cs="Times New Roman"/>
          <w:sz w:val="24"/>
          <w:szCs w:val="24"/>
        </w:rPr>
        <w:t xml:space="preserve">”; PL </w:t>
      </w:r>
      <w:r w:rsidR="008C0B16" w:rsidRPr="00F32C92">
        <w:rPr>
          <w:rFonts w:ascii="Times New Roman" w:hAnsi="Times New Roman" w:cs="Times New Roman"/>
          <w:bCs/>
          <w:sz w:val="24"/>
          <w:szCs w:val="24"/>
        </w:rPr>
        <w:t xml:space="preserve"> n.º 007/2024 - </w:t>
      </w:r>
      <w:r w:rsidR="008C0B16" w:rsidRPr="00F32C92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8C0B16" w:rsidRPr="00F32C92">
        <w:rPr>
          <w:rFonts w:ascii="Times New Roman" w:hAnsi="Times New Roman" w:cs="Times New Roman"/>
          <w:sz w:val="24"/>
          <w:szCs w:val="24"/>
          <w:shd w:val="clear" w:color="auto" w:fill="FFFFFF"/>
        </w:rPr>
        <w:t>"Autoriza abertura de créditos adicionais de natureza especial no valor global de R$781.104,00</w:t>
      </w:r>
      <w:r w:rsidR="008C0B16" w:rsidRPr="00F32C92">
        <w:rPr>
          <w:rFonts w:ascii="Times New Roman" w:hAnsi="Times New Roman" w:cs="Times New Roman"/>
          <w:sz w:val="24"/>
          <w:szCs w:val="24"/>
        </w:rPr>
        <w:t xml:space="preserve">”; </w:t>
      </w:r>
      <w:r w:rsidR="008C0B16">
        <w:rPr>
          <w:rFonts w:ascii="Times New Roman" w:hAnsi="Times New Roman" w:cs="Times New Roman"/>
          <w:bCs/>
          <w:sz w:val="24"/>
          <w:szCs w:val="24"/>
        </w:rPr>
        <w:t>PL n.º 008</w:t>
      </w:r>
      <w:r w:rsidR="008C0B16" w:rsidRPr="00F32C92">
        <w:rPr>
          <w:rFonts w:ascii="Times New Roman" w:hAnsi="Times New Roman" w:cs="Times New Roman"/>
          <w:bCs/>
          <w:sz w:val="24"/>
          <w:szCs w:val="24"/>
        </w:rPr>
        <w:t xml:space="preserve">/2024 - </w:t>
      </w:r>
      <w:r w:rsidR="008C0B16" w:rsidRPr="00F32C92">
        <w:rPr>
          <w:rFonts w:ascii="Times New Roman" w:hAnsi="Times New Roman" w:cs="Times New Roman"/>
          <w:sz w:val="24"/>
          <w:szCs w:val="24"/>
        </w:rPr>
        <w:t>PODER EXECUTIVO – “A</w:t>
      </w:r>
      <w:r w:rsidR="008C0B16" w:rsidRPr="00F32C92">
        <w:rPr>
          <w:rFonts w:ascii="Times New Roman" w:hAnsi="Times New Roman" w:cs="Times New Roman"/>
          <w:sz w:val="24"/>
          <w:szCs w:val="24"/>
          <w:shd w:val="clear" w:color="auto" w:fill="FFFFFF"/>
        </w:rPr>
        <w:t>utoriza abertura de crédito adicional de natureza especial no valor de R$60.000,00</w:t>
      </w:r>
      <w:r w:rsidR="008C0B16" w:rsidRPr="00F32C92">
        <w:rPr>
          <w:rFonts w:ascii="Times New Roman" w:hAnsi="Times New Roman" w:cs="Times New Roman"/>
          <w:sz w:val="24"/>
          <w:szCs w:val="24"/>
        </w:rPr>
        <w:t>”; PL</w:t>
      </w:r>
      <w:r w:rsidR="008C0B16" w:rsidRPr="00F32C92">
        <w:rPr>
          <w:rFonts w:ascii="Times New Roman" w:hAnsi="Times New Roman" w:cs="Times New Roman"/>
          <w:bCs/>
          <w:sz w:val="24"/>
          <w:szCs w:val="24"/>
        </w:rPr>
        <w:t xml:space="preserve"> n.º 009/2024 – com Mensagem Retificativa (Processo na.º 072/2024) -  </w:t>
      </w:r>
      <w:r w:rsidR="008C0B16" w:rsidRPr="00F32C92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8C0B16" w:rsidRPr="00F32C92">
        <w:rPr>
          <w:rFonts w:ascii="Times New Roman" w:hAnsi="Times New Roman" w:cs="Times New Roman"/>
          <w:sz w:val="24"/>
          <w:szCs w:val="24"/>
          <w:shd w:val="clear" w:color="auto" w:fill="FFFFFF"/>
        </w:rPr>
        <w:t>"Autoriza abertura de crédito adicional de natureza suplementar no valor de R$3.600,00</w:t>
      </w:r>
      <w:r w:rsidR="008C0B16" w:rsidRPr="00F32C92">
        <w:rPr>
          <w:rFonts w:ascii="Times New Roman" w:hAnsi="Times New Roman" w:cs="Times New Roman"/>
          <w:sz w:val="24"/>
          <w:szCs w:val="24"/>
        </w:rPr>
        <w:t>”</w:t>
      </w:r>
      <w:r w:rsidR="008C0B16">
        <w:rPr>
          <w:rFonts w:ascii="Times New Roman" w:hAnsi="Times New Roman" w:cs="Times New Roman"/>
          <w:sz w:val="24"/>
          <w:szCs w:val="24"/>
        </w:rPr>
        <w:t xml:space="preserve">, aprovados na Sessão Extraordinária em sete (07) do mês em curso.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Foram relatores os Vereadores Renato Souza da Silva para os projetos n.º: 010, 014, 017 a 020</w:t>
      </w:r>
      <w:r w:rsidR="008C0B16">
        <w:rPr>
          <w:rFonts w:ascii="Times New Roman" w:hAnsi="Times New Roman" w:cs="Times New Roman"/>
          <w:kern w:val="28"/>
          <w:sz w:val="24"/>
          <w:szCs w:val="24"/>
        </w:rPr>
        <w:t xml:space="preserve"> e 022</w:t>
      </w:r>
      <w:bookmarkStart w:id="0" w:name="_GoBack"/>
      <w:bookmarkEnd w:id="0"/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8C0B16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8C0B16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8C0B16">
        <w:rPr>
          <w:rFonts w:ascii="Times New Roman" w:hAnsi="Times New Roman" w:cs="Times New Roman"/>
          <w:kern w:val="28"/>
          <w:sz w:val="24"/>
          <w:szCs w:val="24"/>
        </w:rPr>
        <w:t xml:space="preserve"> Ribeiro para o de n.º 013</w:t>
      </w:r>
      <w:r w:rsidR="008C0B16">
        <w:rPr>
          <w:rFonts w:ascii="Times New Roman" w:hAnsi="Times New Roman" w:cs="Times New Roman"/>
          <w:kern w:val="28"/>
          <w:sz w:val="24"/>
          <w:szCs w:val="24"/>
        </w:rPr>
        <w:t xml:space="preserve"> e,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080501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, para os de n.º: </w:t>
      </w:r>
      <w:r w:rsidR="008C0B16">
        <w:rPr>
          <w:rFonts w:ascii="Times New Roman" w:hAnsi="Times New Roman" w:cs="Times New Roman"/>
          <w:kern w:val="28"/>
          <w:sz w:val="24"/>
          <w:szCs w:val="24"/>
        </w:rPr>
        <w:t xml:space="preserve">015,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016</w:t>
      </w:r>
      <w:r w:rsidR="008C0B16">
        <w:rPr>
          <w:rFonts w:ascii="Times New Roman" w:hAnsi="Times New Roman" w:cs="Times New Roman"/>
          <w:kern w:val="28"/>
          <w:sz w:val="24"/>
          <w:szCs w:val="24"/>
        </w:rPr>
        <w:t xml:space="preserve"> e 021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/2024.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A98D3C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A9BE433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E5771D" w14:textId="77777777" w:rsidR="008C0B16" w:rsidRDefault="008C0B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48DCE0" w14:textId="3860C2BF" w:rsidR="006F46C5" w:rsidRPr="007D7F5E" w:rsidRDefault="008C0B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Vice-Presidente</w:t>
      </w:r>
    </w:p>
    <w:sectPr w:rsidR="006F46C5" w:rsidRPr="007D7F5E" w:rsidSect="00916191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6D176" w14:textId="77777777" w:rsidR="00E06533" w:rsidRDefault="00E06533" w:rsidP="00D44DEF">
      <w:pPr>
        <w:spacing w:after="0" w:line="240" w:lineRule="auto"/>
      </w:pPr>
      <w:r>
        <w:separator/>
      </w:r>
    </w:p>
  </w:endnote>
  <w:endnote w:type="continuationSeparator" w:id="0">
    <w:p w14:paraId="0E18B6B7" w14:textId="77777777" w:rsidR="00E06533" w:rsidRDefault="00E0653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187EAFA9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B16">
          <w:rPr>
            <w:noProof/>
          </w:rPr>
          <w:t>1</w:t>
        </w:r>
        <w:r>
          <w:fldChar w:fldCharType="end"/>
        </w:r>
        <w:r w:rsidR="00080501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3D16E" w14:textId="77777777" w:rsidR="00E06533" w:rsidRDefault="00E06533" w:rsidP="00D44DEF">
      <w:pPr>
        <w:spacing w:after="0" w:line="240" w:lineRule="auto"/>
      </w:pPr>
      <w:r>
        <w:separator/>
      </w:r>
    </w:p>
  </w:footnote>
  <w:footnote w:type="continuationSeparator" w:id="0">
    <w:p w14:paraId="7C8E173A" w14:textId="77777777" w:rsidR="00E06533" w:rsidRDefault="00E06533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80501"/>
    <w:rsid w:val="0008644B"/>
    <w:rsid w:val="000912EA"/>
    <w:rsid w:val="00093511"/>
    <w:rsid w:val="000961BE"/>
    <w:rsid w:val="000A6454"/>
    <w:rsid w:val="000B09D1"/>
    <w:rsid w:val="000B305B"/>
    <w:rsid w:val="000C29CB"/>
    <w:rsid w:val="000D72B0"/>
    <w:rsid w:val="000E16C8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700E"/>
    <w:rsid w:val="00180136"/>
    <w:rsid w:val="00186343"/>
    <w:rsid w:val="00195628"/>
    <w:rsid w:val="00195CD6"/>
    <w:rsid w:val="001A2091"/>
    <w:rsid w:val="001B0945"/>
    <w:rsid w:val="001B099A"/>
    <w:rsid w:val="001B3184"/>
    <w:rsid w:val="001B3434"/>
    <w:rsid w:val="001B71EF"/>
    <w:rsid w:val="001B78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D3AC4"/>
    <w:rsid w:val="003E5142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6BAD"/>
    <w:rsid w:val="006200DC"/>
    <w:rsid w:val="0062490F"/>
    <w:rsid w:val="0063277A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322E"/>
    <w:rsid w:val="006A0EEC"/>
    <w:rsid w:val="006A511D"/>
    <w:rsid w:val="006C4153"/>
    <w:rsid w:val="006D5EEF"/>
    <w:rsid w:val="006D7344"/>
    <w:rsid w:val="006F46C5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421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069"/>
    <w:rsid w:val="009158B0"/>
    <w:rsid w:val="00916191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95E5D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7C48"/>
    <w:rsid w:val="00A10366"/>
    <w:rsid w:val="00A31457"/>
    <w:rsid w:val="00A323DF"/>
    <w:rsid w:val="00A32874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43C1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5034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6C6F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C1AEC"/>
    <w:rsid w:val="00DD0FAD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16A7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3AFF"/>
    <w:rsid w:val="00F85763"/>
    <w:rsid w:val="00F86CE7"/>
    <w:rsid w:val="00F90CC5"/>
    <w:rsid w:val="00FA6E6C"/>
    <w:rsid w:val="00FB17FC"/>
    <w:rsid w:val="00FB4C22"/>
    <w:rsid w:val="00FB582C"/>
    <w:rsid w:val="00FB7CBB"/>
    <w:rsid w:val="00FC5342"/>
    <w:rsid w:val="00FC7344"/>
    <w:rsid w:val="00FD1CE5"/>
    <w:rsid w:val="00FD1E2A"/>
    <w:rsid w:val="00FD62F0"/>
    <w:rsid w:val="00FE24BC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BC13D-C6CB-46FD-8A2C-BAE75EB5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1155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2024-02-27T14:35:00Z</cp:lastPrinted>
  <dcterms:created xsi:type="dcterms:W3CDTF">2024-03-13T16:42:00Z</dcterms:created>
  <dcterms:modified xsi:type="dcterms:W3CDTF">2024-03-13T17:12:00Z</dcterms:modified>
</cp:coreProperties>
</file>