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335/2026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CONCESSÃO DE INCENTIVOS PARA TRANSFERÊNCIA DE VEÍCULOS”.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que que visa incrementar o valor arrecadado do IPVA, incentivando os munícipes, com residência ou domicílio econômico ou profissional no Município de Aceguá, proprietários de veículos emplacados em outro município, façam a transferência dos mesmos para Aceguá, com isso haverá um substancial incremento na arrecadação municipal, pois, estes proprietários passarão pagar o IPVA para o Município de Aceguá. O incentivo será concedido apenas uma vez, e os valores dispensados são inferiores ao imposto a ser pago, portanto é plenamente concebível, financeira e legalmente a possibilidade de concessão do incentivo. 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08/06/2026.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dQ4d7W1+2YAsgb42VV3whrhdg==">CgMxLjAyDmgudTByOXBkb2tmeDcxMg5oLnZzMWJ0Z3dwOGlrcTIOaC4zZzRoZzNvbHBlbXE4AHIhMUhoNDFMT0JyNFREV2hRWEZWSGxnWG5jZzY3UnVxcU9y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