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197/2026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N.º 108, DE 1.º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bookmarkStart w:colFirst="0" w:colLast="0" w:name="_heading=h.vs1btgwp8ikq" w:id="1"/>
      <w:bookmarkEnd w:id="1"/>
      <w:r w:rsidDel="00000000" w:rsidR="00000000" w:rsidRPr="00000000">
        <w:rPr>
          <w:rtl w:val="0"/>
        </w:rPr>
        <w:t xml:space="preserve">Veio o Projeto de Lei para apreciação da Comissão de Legislação, Justiça e Redação Final, que que visa à criação de cargo em comissão, com inclusão no Anexo II da Lei Municipal nº 108, de 1º de outubro de 2002, que dispõe sobre o quadro de cargos da Secretaria Municipal de Obras e Serviços Públicos. A proposição estabelece a criação de 01 (uma) vaga para o cargo de Diretor de Engenharia e Arquitetura, com classificação CC/FG 09, a ser lotado na Secretaria Municipal de Obras e Serviços Públicos (SMOSP). De acordo com a justificativa apresentada, a criação do referido cargo decorre da necessidade de fortalecimento da estrutura administrativa da SMOSP, considerando a relevância das atividades de engenharia e arquitetura para o desenvolvimento das obras públicas municipais. Destaca, ainda, o aumento da demanda em razão do recebimento de recursos provenientes de emendas e de orçamento próprio, bem como da execução de obras em andamento e previstas para os próximos meses, o que torna indispensável a criação da função para melhor planejamento, coordenação e acompanhamento técnico das ações. Por fim, o Projeto de Lei dispõe que as despesas decorrentes de sua execução correrão por conta das dotações orçamentárias próprias, nos termos do art. 43 da Lei Federal nº 4.320/64.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Lei, VOTO PELA CONSTITUCIONALIDADE, LEGALIDADE E REGIMENTALIDADE  DA MATÉRIA.</w:t>
      </w:r>
    </w:p>
    <w:p w:rsidR="00000000" w:rsidDel="00000000" w:rsidP="00000000" w:rsidRDefault="00000000" w:rsidRPr="00000000" w14:paraId="0000000F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01/06/2026.</w:t>
      </w:r>
    </w:p>
    <w:p w:rsidR="00000000" w:rsidDel="00000000" w:rsidP="00000000" w:rsidRDefault="00000000" w:rsidRPr="00000000" w14:paraId="00000010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4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3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JLCxYm55s03mGhVScYfjC/GOg==">CgMxLjAyDmgudTByOXBkb2tmeDcxMg5oLnZzMWJ0Z3dwOGlrcTIOaC4zZzRoZzNvbHBlbXE4AHIhMXpSOWNRelZWNUJfcUZNa05mN0s4RFdrWVdYV2xaTS1v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