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rm43v9bb0e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379/2026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037/2026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25/05/2026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“INSTITUI O FUNDO MUNICIPAL DE BEM-ESTAR ANIMAL”.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o presente Projeto de Lei para apreciação da Comissão de Infraestrutura, Desenvolvimento e Bem-Estar Social, visando instituir o Fundo Municipal de Bem-Estar Animal (FMBEA), destinado ao financiamento de ações voltadas à saúde, proteção, defesa e bem-estar dos animais no Município de Aceguá. A gestão do referido Fundo caberá à Secretaria Municipal de Desenvolvimento Econômico e Turismo, órgão que ficará responsável pela execução e pelo controle das ações previstas. Ademais, o Fundo terá seu funcionamento fiscalizado pelo Conselho Municipal de Bem-Estar Animal (COMBEA), a ser instituído por meio de Decreto do Poder Executivo. Por fim, a proposta estabelece que as despesas decorrentes da execução desta Lei correrão por conta de dotações orçamentárias próprias, as quais poderão ser suplementadas caso haja necessidade.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heading=h.88qf8u5y74o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Projeto de Lei, VOTO PELA TRAMITAÇÃO DA MATÉRIA,por entender que a proposição atende ao interesse público.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27/05/2026.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/>
      </w:pPr>
      <w:bookmarkStart w:colFirst="0" w:colLast="0" w:name="_heading=h.3g4hg3olpemq" w:id="4"/>
      <w:bookmarkEnd w:id="4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JÚLIO CÉSAR PORCIÚNCULA LEMOS - PSDB:____________________________________________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JOCEMAR CASAGRANDE  - PT:_________________________________________________________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7bkgCaUe780XrFHxnZ6L8AhhAQ==">CgMxLjAyDWgucm00M3Y5YmIwZTgyDmgudTByOXBkb2tmeDcxMg5oLmlscGowOHc0NXQ5eTIOaC44OHFmOHU1eTc0b2UyDmguM2c0aGczb2xwZW1xOAByITE1cnZ0NTNsX2FYU0Ftd2pTbUxqdUpCVUtFYm5rZVk5OA==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