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108/2026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03/03/2026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color w:val="212529"/>
          <w:rtl w:val="0"/>
        </w:rPr>
        <w:t xml:space="preserve">AUTORIZA ABERTURA DE CRÉDITO ADICIONAL DE NATUREZA SUPLEMENTAR NO VALOR DE R$700.000,00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obter a outorga legislativa para que o Município possa incluir, no orçamento municipal, por meio da Secretaria Municipal de Educação, Cultura, Esporte e Lazer, crédito adicional suplementar no valor de R$ 700.000,00 (setecentos mil reais), destinado à cobertura de despesas decorrentes da alteração da forma de contratação do transporte do ensino médio.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-612</wp:posOffset>
          </wp:positionH>
          <wp:positionV relativeFrom="paragraph">
            <wp:posOffset>-612</wp:posOffset>
          </wp:positionV>
          <wp:extent cx="5753100" cy="876300"/>
          <wp:effectExtent b="0" l="0" r="0" t="0"/>
          <wp:wrapNone/>
          <wp:docPr descr="logo_acegua_color" id="11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1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ILf005xfv+TJK3XGiEfpyHBGA==">CgMxLjAyDmguOGpwaGtrOTRsbTltMg5oLnUwcjlwZG9rZng3MTIOaC5pb2c1aWFlMXNsNGYyDmguY21wYWUxdXZ2bHZiOAByITFNNFpnMzY1UV9DTmtLc2pVRzNXY0gtclJLTVlkLVozNQ==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