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REDAÇÃO FINAL DO</w:t>
      </w:r>
    </w:p>
    <w:p w:rsidR="00000000" w:rsidDel="00000000" w:rsidP="00000000" w:rsidRDefault="00000000" w:rsidRPr="00000000" w14:paraId="00000006">
      <w:pPr>
        <w:ind w:left="1416" w:firstLine="707.9999999999998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PROJETO DE LEI N.º 002/2026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-142" w:right="-142" w:firstLine="85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         A Câmara Municipal de Vereadores de Aceguá, Estado do Rio Grande do Sul, reunida em Sessão Ordinária, realizada em 30 de março de 2026 aprovou, de autoria do Poder Executivo o seguinte:</w:t>
      </w:r>
      <w:r w:rsidDel="00000000" w:rsidR="00000000" w:rsidRPr="00000000">
        <w:rPr>
          <w:color w:val="ff0000"/>
          <w:rtl w:val="0"/>
        </w:rPr>
        <w:t xml:space="preserve">                  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LEI N.º 0</w:t>
      </w:r>
      <w:r w:rsidDel="00000000" w:rsidR="00000000" w:rsidRPr="00000000">
        <w:rPr>
          <w:b w:val="1"/>
          <w:bCs w:val="1"/>
          <w:rtl w:val="0"/>
        </w:rPr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1" w:right="0" w:hanging="151.0000000000002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Autoriza abertura de crédito adicional de natureza </w:t>
      </w:r>
      <w:r w:rsidDel="00000000" w:rsidR="00000000" w:rsidRPr="00000000">
        <w:rPr>
          <w:b w:val="1"/>
          <w:bCs w:val="1"/>
          <w:rtl w:val="0"/>
        </w:rPr>
        <w:t xml:space="preserve">suplementar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val</w:t>
      </w:r>
      <w:r w:rsidDel="00000000" w:rsidR="00000000" w:rsidRPr="00000000">
        <w:rPr>
          <w:b w:val="1"/>
          <w:bCs w:val="1"/>
          <w:rtl w:val="0"/>
        </w:rPr>
        <w:t xml:space="preserve">or global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R$150.000,00.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1" w:right="0" w:hanging="151.00000000000023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57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                       Art. 1.º</w:t>
      </w:r>
      <w:r w:rsidDel="00000000" w:rsidR="00000000" w:rsidRPr="00000000">
        <w:rPr>
          <w:rtl w:val="0"/>
        </w:rPr>
        <w:t xml:space="preserve"> Fica o Poder Executivo do Município de Aceguá, autorizado a proceder abertura de crédito adicional suplementar para o presente exercício financeiro no valor global de R$200.000,00 (duzentos mil reais), nos termos da Lei Federal n.º 4.320/64, a ser alocado nas seguintes dotações:</w:t>
      </w:r>
    </w:p>
    <w:tbl>
      <w:tblPr>
        <w:tblStyle w:val="Table1"/>
        <w:tblW w:w="8646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6"/>
        <w:gridCol w:w="4394"/>
        <w:gridCol w:w="2126"/>
        <w:tblGridChange w:id="0">
          <w:tblGrid>
            <w:gridCol w:w="2126"/>
            <w:gridCol w:w="4394"/>
            <w:gridCol w:w="2126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Órgão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09- Secretaria Municipal de Educação, Cultura, Esporte e Lazer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01 - Unidade Administrativa da Educação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Função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12 - Educação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Subfunção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122- Administração Geral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Programa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0002- Gestão e Manutenção de Serviços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2.015 - Gestão e Administração da Secretaria de Educação, Cultura, Esporte e Lazer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Recurso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before="57" w:lineRule="auto"/>
              <w:jc w:val="both"/>
              <w:rPr/>
            </w:pPr>
            <w:bookmarkStart w:colFirst="0" w:colLast="0" w:name="_heading=h.lamcrh3z2mx0" w:id="0"/>
            <w:bookmarkEnd w:id="0"/>
            <w:r w:rsidDel="00000000" w:rsidR="00000000" w:rsidRPr="00000000">
              <w:rPr>
                <w:rtl w:val="0"/>
              </w:rPr>
              <w:t xml:space="preserve">25000001 - Recurso Livre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before="57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before="57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 da natureza de despesa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before="57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before="5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3.3.90.46.00.00.00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Auxílio Alimentação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R$ 40.000,00</w:t>
            </w:r>
          </w:p>
        </w:tc>
      </w:tr>
    </w:tbl>
    <w:p w:rsidR="00000000" w:rsidDel="00000000" w:rsidP="00000000" w:rsidRDefault="00000000" w:rsidRPr="00000000" w14:paraId="00000029">
      <w:pPr>
        <w:spacing w:before="57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646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6"/>
        <w:gridCol w:w="4394"/>
        <w:gridCol w:w="2126"/>
        <w:tblGridChange w:id="0">
          <w:tblGrid>
            <w:gridCol w:w="2126"/>
            <w:gridCol w:w="4394"/>
            <w:gridCol w:w="2126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Órgão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09- Secretaria Municipal de Educação, Cultura, Esporte e Lazer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02 - Unidade Administrativa do Ensino Fundamental - MDE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Função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12 - Educação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Subfunção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122- Administração Geral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Programa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0002- Gestão e Manutenção de Serviços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2.017 - Gestão e Administração da Secretaria de Educação, Cultura, Esporte e Lazer - MDE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Recurso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before="57" w:lineRule="auto"/>
              <w:jc w:val="both"/>
              <w:rPr/>
            </w:pPr>
            <w:bookmarkStart w:colFirst="0" w:colLast="0" w:name="_heading=h.lamcrh3z2mx0" w:id="0"/>
            <w:bookmarkEnd w:id="0"/>
            <w:r w:rsidDel="00000000" w:rsidR="00000000" w:rsidRPr="00000000">
              <w:rPr>
                <w:rtl w:val="0"/>
              </w:rPr>
              <w:t xml:space="preserve">25000020 - Manutenção e Desenvolvimento do Ensino - MDE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before="57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before="57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 da natureza de despesa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before="57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before="5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3.3.90.46.00.00.00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Auxílio Alimentação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R$ 130.000,00</w:t>
            </w:r>
          </w:p>
        </w:tc>
      </w:tr>
    </w:tbl>
    <w:p w:rsidR="00000000" w:rsidDel="00000000" w:rsidP="00000000" w:rsidRDefault="00000000" w:rsidRPr="00000000" w14:paraId="00000045">
      <w:pPr>
        <w:spacing w:before="57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ind w:firstLine="70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ind w:firstLine="70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ind w:firstLine="70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57" w:lineRule="auto"/>
        <w:jc w:val="both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168603602"/>
        <w:tag w:val="goog_rdk_0"/>
      </w:sdtPr>
      <w:sdtContent>
        <w:tbl>
          <w:tblPr>
            <w:tblStyle w:val="Table3"/>
            <w:tblW w:w="8646.0" w:type="dxa"/>
            <w:jc w:val="left"/>
            <w:tblInd w:w="421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126"/>
            <w:gridCol w:w="4394"/>
            <w:gridCol w:w="2126"/>
            <w:tblGridChange w:id="0">
              <w:tblGrid>
                <w:gridCol w:w="2126"/>
                <w:gridCol w:w="4394"/>
                <w:gridCol w:w="2126"/>
              </w:tblGrid>
            </w:tblGridChange>
          </w:tblGrid>
          <w:tr>
            <w:trPr>
              <w:cantSplit w:val="0"/>
              <w:trHeight w:val="34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A">
                <w:pPr>
                  <w:spacing w:before="57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Órgão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B">
                <w:pPr>
                  <w:spacing w:before="57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11-Secretaria Municipal de Desenvolvimento Econômico e Turismo </w:t>
                </w:r>
              </w:p>
            </w:tc>
          </w:tr>
          <w:tr>
            <w:trPr>
              <w:cantSplit w:val="0"/>
              <w:trHeight w:val="34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D">
                <w:pPr>
                  <w:spacing w:before="57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Unidade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E">
                <w:pPr>
                  <w:spacing w:before="57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02- Unidade Administrativa do Desenvolvimento Agropecuário</w:t>
                </w:r>
              </w:p>
            </w:tc>
          </w:tr>
          <w:tr>
            <w:trPr>
              <w:cantSplit w:val="0"/>
              <w:trHeight w:val="389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0">
                <w:pPr>
                  <w:spacing w:before="57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Função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1">
                <w:pPr>
                  <w:spacing w:before="57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20- Agricultura</w:t>
                </w:r>
              </w:p>
            </w:tc>
          </w:tr>
          <w:tr>
            <w:trPr>
              <w:cantSplit w:val="0"/>
              <w:trHeight w:val="351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3">
                <w:pPr>
                  <w:spacing w:before="57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Subfunção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4">
                <w:pPr>
                  <w:spacing w:before="57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122- Administração Geral</w:t>
                </w:r>
              </w:p>
            </w:tc>
          </w:tr>
          <w:tr>
            <w:trPr>
              <w:cantSplit w:val="0"/>
              <w:trHeight w:val="34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6">
                <w:pPr>
                  <w:spacing w:before="57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Programa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7">
                <w:pPr>
                  <w:spacing w:before="57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0006- Арoio ao Produtor</w:t>
                </w:r>
              </w:p>
            </w:tc>
          </w:tr>
          <w:tr>
            <w:trPr>
              <w:cantSplit w:val="0"/>
              <w:trHeight w:val="34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9">
                <w:pPr>
                  <w:spacing w:before="57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Ação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A">
                <w:pPr>
                  <w:spacing w:before="57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2.031- Gestão e Administração do Programa </w:t>
                </w:r>
              </w:p>
            </w:tc>
          </w:tr>
          <w:tr>
            <w:trPr>
              <w:cantSplit w:val="0"/>
              <w:trHeight w:val="34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C">
                <w:pPr>
                  <w:spacing w:before="57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Recurso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D">
                <w:pPr>
                  <w:spacing w:before="57" w:lineRule="auto"/>
                  <w:jc w:val="both"/>
                  <w:rPr/>
                </w:pPr>
                <w:bookmarkStart w:colFirst="0" w:colLast="0" w:name="_heading=h.lamcrh3z2mx0" w:id="0"/>
                <w:bookmarkEnd w:id="0"/>
                <w:r w:rsidDel="00000000" w:rsidR="00000000" w:rsidRPr="00000000">
                  <w:rPr>
                    <w:rtl w:val="0"/>
                  </w:rPr>
                  <w:t xml:space="preserve">25000001 - Recurso Livre</w:t>
                </w:r>
              </w:p>
            </w:tc>
          </w:tr>
          <w:tr>
            <w:trPr>
              <w:cantSplit w:val="0"/>
              <w:trHeight w:val="34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F">
                <w:pPr>
                  <w:spacing w:before="57" w:lineRule="auto"/>
                  <w:jc w:val="center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Código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0">
                <w:pPr>
                  <w:spacing w:before="57" w:lineRule="auto"/>
                  <w:jc w:val="center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Descrição da natureza de despesa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1">
                <w:pPr>
                  <w:spacing w:before="57" w:lineRule="auto"/>
                  <w:jc w:val="center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Valor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2">
                <w:pPr>
                  <w:spacing w:before="57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3.3.90.46.00.00.00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3">
                <w:pPr>
                  <w:spacing w:before="57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Auxílio Alimentação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4">
                <w:pPr>
                  <w:spacing w:before="57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    R$ 30.000,00</w:t>
                </w:r>
              </w:p>
            </w:tc>
          </w:tr>
        </w:tbl>
      </w:sdtContent>
    </w:sdt>
    <w:p w:rsidR="00000000" w:rsidDel="00000000" w:rsidP="00000000" w:rsidRDefault="00000000" w:rsidRPr="00000000" w14:paraId="00000065">
      <w:pPr>
        <w:widowControl w:val="0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76" w:lineRule="auto"/>
        <w:ind w:firstLine="709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</w:t>
      </w:r>
    </w:p>
    <w:p w:rsidR="00000000" w:rsidDel="00000000" w:rsidP="00000000" w:rsidRDefault="00000000" w:rsidRPr="00000000" w14:paraId="00000067">
      <w:pPr>
        <w:widowControl w:val="0"/>
        <w:spacing w:line="276" w:lineRule="auto"/>
        <w:ind w:firstLine="70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       Art. 2.º</w:t>
      </w:r>
      <w:r w:rsidDel="00000000" w:rsidR="00000000" w:rsidRPr="00000000">
        <w:rPr>
          <w:rtl w:val="0"/>
        </w:rPr>
        <w:t xml:space="preserve"> A cobertura do presente crédito suplementar, no valor global de R$ 200.000,00 decorrerá por conta de:</w:t>
      </w:r>
    </w:p>
    <w:p w:rsidR="00000000" w:rsidDel="00000000" w:rsidP="00000000" w:rsidRDefault="00000000" w:rsidRPr="00000000" w14:paraId="00000068">
      <w:pPr>
        <w:widowControl w:val="0"/>
        <w:spacing w:line="276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 I- superávit financeiro do Recurso 25000001 — Recurso Livre, apurado no exercício financeiro de 2025, no valor de R$ 70.000,00; </w:t>
      </w:r>
    </w:p>
    <w:p w:rsidR="00000000" w:rsidDel="00000000" w:rsidP="00000000" w:rsidRDefault="00000000" w:rsidRPr="00000000" w14:paraId="00000069">
      <w:pPr>
        <w:widowControl w:val="0"/>
        <w:spacing w:line="276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 II - superávit financeiro do Recurso 25000020 –- Manutenção e Desenvolvimento do Ensino - MDE, apurado no exercício financeiro de 2025, no valor de R$130.000,00.</w:t>
      </w:r>
    </w:p>
    <w:p w:rsidR="00000000" w:rsidDel="00000000" w:rsidP="00000000" w:rsidRDefault="00000000" w:rsidRPr="00000000" w14:paraId="0000006A">
      <w:pPr>
        <w:widowControl w:val="0"/>
        <w:spacing w:line="276" w:lineRule="auto"/>
        <w:ind w:firstLine="709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360" w:lineRule="auto"/>
        <w:ind w:firstLine="70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           Art. 3.º</w:t>
      </w:r>
      <w:r w:rsidDel="00000000" w:rsidR="00000000" w:rsidRPr="00000000">
        <w:rPr>
          <w:rtl w:val="0"/>
        </w:rPr>
        <w:t xml:space="preserve"> Esta Lei entra em vigor na data de sua publicação.</w:t>
      </w:r>
    </w:p>
    <w:p w:rsidR="00000000" w:rsidDel="00000000" w:rsidP="00000000" w:rsidRDefault="00000000" w:rsidRPr="00000000" w14:paraId="0000006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SALA DAS SESSÕES, </w:t>
      </w:r>
      <w:r w:rsidDel="00000000" w:rsidR="00000000" w:rsidRPr="00000000">
        <w:rPr>
          <w:rtl w:val="0"/>
        </w:rPr>
        <w:t xml:space="preserve">em 06 de abril de 2026.</w:t>
      </w:r>
    </w:p>
    <w:p w:rsidR="00000000" w:rsidDel="00000000" w:rsidP="00000000" w:rsidRDefault="00000000" w:rsidRPr="00000000" w14:paraId="0000006F">
      <w:pPr>
        <w:spacing w:line="276" w:lineRule="auto"/>
        <w:ind w:left="-142" w:firstLine="142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ind w:left="-142" w:firstLine="142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ind w:left="-142" w:firstLine="142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72">
      <w:pPr>
        <w:spacing w:line="360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ind w:left="-142" w:right="-660" w:hanging="14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JÚLIO CÉSAR PORCIÚNCULA LEMOS – PSDB – PRESIDENTE:_________________________________</w:t>
      </w:r>
    </w:p>
    <w:p w:rsidR="00000000" w:rsidDel="00000000" w:rsidP="00000000" w:rsidRDefault="00000000" w:rsidRPr="00000000" w14:paraId="00000074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ind w:right="-108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–PSDB - VICE-PRESIDENTE:_________________________________</w:t>
      </w:r>
    </w:p>
    <w:p w:rsidR="00000000" w:rsidDel="00000000" w:rsidP="00000000" w:rsidRDefault="00000000" w:rsidRPr="00000000" w14:paraId="00000076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ind w:right="-6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– MDB:_________________________________________________________</w:t>
      </w:r>
    </w:p>
    <w:sectPr>
      <w:pgSz w:h="15840" w:w="12240" w:orient="portrait"/>
      <w:pgMar w:bottom="0" w:top="1418" w:left="1418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44"/>
      <w:szCs w:val="4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extodebalo">
    <w:name w:val="Balloon Text"/>
    <w:basedOn w:val="Normal"/>
    <w:semiHidden w:val="1"/>
    <w:rsid w:val="009557E3"/>
    <w:rPr>
      <w:rFonts w:ascii="Tahoma" w:cs="Tahoma" w:hAnsi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 w:val="1"/>
    </w:pPr>
    <w:rPr>
      <w:rFonts w:cs="Tahoma" w:eastAsia="Lucida Sans Unicode"/>
      <w:kern w:val="1"/>
    </w:rPr>
  </w:style>
  <w:style w:type="paragraph" w:styleId="Ttulodetabela" w:customStyle="1">
    <w:name w:val="Título de tabela"/>
    <w:basedOn w:val="Normal"/>
    <w:rsid w:val="00487F36"/>
    <w:pPr>
      <w:widowControl w:val="0"/>
      <w:suppressLineNumbers w:val="1"/>
      <w:suppressAutoHyphens w:val="1"/>
      <w:jc w:val="center"/>
    </w:pPr>
    <w:rPr>
      <w:rFonts w:eastAsia="Lucida Sans Unicode"/>
      <w:b w:val="1"/>
      <w:bCs w:val="1"/>
      <w:kern w:val="1"/>
    </w:rPr>
  </w:style>
  <w:style w:type="paragraph" w:styleId="Contedodatabela" w:customStyle="1">
    <w:name w:val="Conteúdo da tabela"/>
    <w:basedOn w:val="Normal"/>
    <w:rsid w:val="00487F36"/>
    <w:pPr>
      <w:widowControl w:val="0"/>
      <w:suppressLineNumbers w:val="1"/>
      <w:suppressAutoHyphens w:val="1"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860CCE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b w:val="1"/>
      <w:b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QKLLqKpVguPq9SIuHKszuCC9cA==">CgMxLjAaHwoBMBIaChgICVIUChJ0YWJsZS4xMnU5cGI3cGN5NnIyDmgubGFtY3JoM3oybXgwMg5oLmxhbWNyaDN6Mm14MDIOaC5sYW1jcmgzejJteDA4AHIhMWltbmdRb1JkbzJhb2RReU9nOUw3d05CLWx6NjROYnlY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2026-03-20T14:13:00Z</dcterms:created>
  <dc:creator>Gabinete do Prefeito</dc:creator>
</cp:coreProperties>
</file>