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152/2026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O COEFICIENTE DO NÍVEL BÁSICO DE CARREIRA DO MAGISTÉRIO”.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hbbtbe3gp1x0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que dispõe sobre a alteração do coeficiente do nível básico da carreira do Magistério e da remuneração dos professores contratados em caráter emergencial no Município de Aceguá.O PL estabelece que o coeficiente do nível básico de carreira do Magistério, bem como a remuneração dos professores contratados emergencialmente, passa a ser fixado em 3,87 (três vírgula oitenta e sete) Unidades de Referência Salarial – URS, em conformidade com o Anexo II da Lei Municipal nº 109/2002. A proposição tem por finalidade adequar os valores remuneratórios da categoria, promovendo a atualização do coeficiente utilizado como base de cálculo, em consonância com a legislação municipal vigente. O projeto dispõe, ainda, que a lei entrará em vigor na data de sua publicação, produzindo efeitos a partir de 1º de janeiro de 2026. Por fim, revoga expressamente a Lei Municipal nº 2.146/2025.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TRAMITAÇÃO DA MATÉRIA, 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30/03/2026.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zk8X8egWxKzy604TvUGVMCksw==">CgMxLjAyDmgudTByOXBkb2tmeDcxMg5oLmhiYnRiZTNncDF4MDIOaC4zZzRoZzNvbHBlbXE4AHIhMWlqZ09UYi1NRzhyRU11QWhSM0FGNlhMaEhfcWlhS0dP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