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151/2026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019/2026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11/03/2026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tl w:val="0"/>
        </w:rPr>
        <w:t xml:space="preserve">AUTORIZA ABERTURA DE CRÉDITO ADICIONAL DE NATUREZA ESPECIAL NO VALOR DE R$226.208,54”.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bookmarkStart w:colFirst="0" w:colLast="0" w:name="_heading=h.iog5iae1sl4f" w:id="2"/>
      <w:bookmarkEnd w:id="2"/>
      <w:r w:rsidDel="00000000" w:rsidR="00000000" w:rsidRPr="00000000">
        <w:rPr>
          <w:rtl w:val="0"/>
        </w:rPr>
        <w:t xml:space="preserve">O Projeto de Lei encaminhado à apreciação da Comissão de Finanças e Orçamento tem por finalidade de obter a outorga legislativa para que o Poder Executivo  possa abrir crédito especial no orçamento municipal, no valor de R$ 226.208,54 (duzentos e vinte e seis mil, duzentos e oito reais e cinquenta e quatro centavos), destinado à Secretaria de Educação, Cultura, Esporte e Lazer, com a finalidade de utilização do superávit do FUNDEB, nos termos da Lei Federal nº 4.320/64 e da legislação pertinente ao Fundo de Manutenção e Desenvolvimento da Educação Básica.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23/03/2026.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-607</wp:posOffset>
          </wp:positionH>
          <wp:positionV relativeFrom="paragraph">
            <wp:posOffset>-607</wp:posOffset>
          </wp:positionV>
          <wp:extent cx="5753100" cy="876300"/>
          <wp:effectExtent b="0" l="0" r="0" t="0"/>
          <wp:wrapNone/>
          <wp:docPr descr="logo_acegua_color" id="13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-607</wp:posOffset>
          </wp:positionH>
          <wp:positionV relativeFrom="paragraph">
            <wp:posOffset>-607</wp:posOffset>
          </wp:positionV>
          <wp:extent cx="5753100" cy="876300"/>
          <wp:effectExtent b="0" l="0" r="0" t="0"/>
          <wp:wrapNone/>
          <wp:docPr descr="logo_acegua_color" id="13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-607</wp:posOffset>
          </wp:positionH>
          <wp:positionV relativeFrom="paragraph">
            <wp:posOffset>-607</wp:posOffset>
          </wp:positionV>
          <wp:extent cx="5753100" cy="876300"/>
          <wp:effectExtent b="0" l="0" r="0" t="0"/>
          <wp:wrapNone/>
          <wp:docPr descr="logo_acegua_color" id="13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-607</wp:posOffset>
          </wp:positionH>
          <wp:positionV relativeFrom="paragraph">
            <wp:posOffset>-607</wp:posOffset>
          </wp:positionV>
          <wp:extent cx="5753100" cy="876300"/>
          <wp:effectExtent b="0" l="0" r="0" t="0"/>
          <wp:wrapNone/>
          <wp:docPr descr="logo_acegua_color" id="13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3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B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C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Agt1b65EyXy3ovQV80aA+QFRBg==">CgMxLjAyDmguOGpwaGtrOTRsbTltMg5oLnUwcjlwZG9rZng3MTIOaC5pb2c1aWFlMXNsNGYyDmguY21wYWUxdXZ2bHZiOAByITFIUm9hZmJHaU9lbkt1VjlaS3VwWEkyNGlZY3NiN2hyUw==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