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082/2026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ART. 8.° DA LEI MUNICIPAL N.º 2.198 DE 12 DE JANEIRO DE 2026”.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alterar parcialmente a Lei Municipal nº 2.198/2026 (LOA 2026), promovendo nova redação ao Art. 8º e instituindo os incisos IV, V, VI e VII. A proposição tem por objetivo autorizar o Poder Executivo a abrir créditos suplementares em hipóteses específicas, além daquelas já previstas no inciso I do Art. 7º da referida lei. Com a alteração proposta, passam a ser contempladas as suplementações destinadas à incorporação de superávit financeiro do exercício anterior, excesso de arrecadação, transferências especiais da União e utilização da reserva de contingência. A justificativa da matéria sustenta que a medida busca adequar a execução orçamentária do município, permitindo a utilização de recursos legalmente disponíveis. Ademais, estabelece que os limites autorizados no Art. 7º não serão comprometidos quando os créditos suplementares se destinarem às hipóteses previstas nos incisos I ao VII do Art. 8º, garantindo maior flexibilidade na gestão orçamentária.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análise do Projeto de Lei, VOTO CONTRÁRIO À TRAMITAÇÃO DA MATÉRIA, pois, embora compatível com a legislação vigente, a proposta amplia excessivamente as hipóteses de abertura de créditos suplementares sem autorização legislativa específica. Tal medida fragiliza o controle do Poder Legislativo sobre o orçamento, conferindo maior discricionariedade ao Poder Executivo e reduzindo a necessidade de análise e deliberação parlamentar sobre alterações orçamentárias.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4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2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IGR1Xa7APQomO1PhOsSh8wYNQ==">CgMxLjAyDmgudTByOXBkb2tmeDcxMg5oLnZzMWJ0Z3dwOGlrcTIOaC44OHFmOHU1eTc0b2UyDmguM2c0aGczb2xwZW1xOAByITFQYU5sT185Q2JSckEtNVVHT3BZNkY2d0c5M3BJd0l6Vg==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