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23F9A6C6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E66BE4">
        <w:rPr>
          <w:kern w:val="28"/>
          <w:lang w:eastAsia="zh-CN"/>
        </w:rPr>
        <w:t>0</w:t>
      </w:r>
      <w:r w:rsidR="00E94221">
        <w:rPr>
          <w:kern w:val="28"/>
          <w:lang w:eastAsia="zh-CN"/>
        </w:rPr>
        <w:t>1</w:t>
      </w:r>
      <w:r w:rsidR="003F74D9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2C6E5D7B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E66BE4">
        <w:rPr>
          <w:kern w:val="28"/>
          <w:lang w:eastAsia="zh-CN"/>
        </w:rPr>
        <w:t>0</w:t>
      </w:r>
      <w:r w:rsidR="003F74D9">
        <w:rPr>
          <w:kern w:val="28"/>
          <w:lang w:eastAsia="zh-CN"/>
        </w:rPr>
        <w:t>6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5EE4CDA" w14:textId="54BBF188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E66BE4">
        <w:rPr>
          <w:kern w:val="28"/>
          <w:lang w:eastAsia="zh-CN"/>
        </w:rPr>
        <w:t xml:space="preserve"> </w:t>
      </w:r>
      <w:r w:rsidR="00F2607E">
        <w:rPr>
          <w:kern w:val="28"/>
          <w:lang w:eastAsia="zh-CN"/>
        </w:rPr>
        <w:t>ANDERSON BARCELOS CORRÊA</w:t>
      </w:r>
    </w:p>
    <w:p w14:paraId="020728AE" w14:textId="247FA6A0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E66BE4">
        <w:rPr>
          <w:kern w:val="28"/>
          <w:lang w:eastAsia="zh-CN"/>
        </w:rPr>
        <w:t>10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01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6827CC30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3F74D9" w:rsidRPr="003F74D9">
        <w:t>ALTERA O ANEXO I DA LEI MUNICIPAL N.º 108 DE 1° OUTUBRO DE 2002</w:t>
      </w:r>
      <w:r w:rsidR="00DF3448">
        <w:t>”</w:t>
      </w:r>
      <w:bookmarkEnd w:id="1"/>
      <w:r w:rsidR="00940417">
        <w:t>.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3D0E5261" w:rsidR="00D0776B" w:rsidRDefault="00EC1773" w:rsidP="0095531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 xml:space="preserve">de alterar no Anexo I da Lei Municipal n° 108 de 1° de outubro de  2002, a nomenclatura do cargo de </w:t>
      </w:r>
      <w:r w:rsidR="00E91207">
        <w:rPr>
          <w:kern w:val="28"/>
          <w:lang w:eastAsia="zh-CN"/>
        </w:rPr>
        <w:t>S</w:t>
      </w:r>
      <w:r w:rsidR="007F145A">
        <w:rPr>
          <w:kern w:val="28"/>
          <w:lang w:eastAsia="zh-CN"/>
        </w:rPr>
        <w:t xml:space="preserve">ervente </w:t>
      </w:r>
      <w:r w:rsidR="00E91207">
        <w:rPr>
          <w:kern w:val="28"/>
          <w:lang w:eastAsia="zh-CN"/>
        </w:rPr>
        <w:t>M</w:t>
      </w:r>
      <w:r w:rsidR="007F145A">
        <w:rPr>
          <w:kern w:val="28"/>
          <w:lang w:eastAsia="zh-CN"/>
        </w:rPr>
        <w:t xml:space="preserve">erendeira para Merendeira Escolar, bem como, as atribuições do cargo no quadro de cargos permanentes nela criada, com suas respectivas lotações, remuneração, vagas, </w:t>
      </w:r>
      <w:r w:rsidR="00E91207">
        <w:rPr>
          <w:kern w:val="28"/>
          <w:lang w:eastAsia="zh-CN"/>
        </w:rPr>
        <w:t>condições de trabalho e requisitos para provimento.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5541142C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ED7CD8">
        <w:rPr>
          <w:kern w:val="28"/>
          <w:lang w:eastAsia="zh-CN"/>
        </w:rPr>
        <w:t>1</w:t>
      </w:r>
      <w:r w:rsidR="00F2607E">
        <w:rPr>
          <w:kern w:val="28"/>
          <w:lang w:eastAsia="zh-CN"/>
        </w:rPr>
        <w:t>7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02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2E69BFA8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36738FE" w14:textId="77777777" w:rsidR="00A13570" w:rsidRDefault="00A13570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638C6FB" w14:textId="77777777" w:rsidR="00A13570" w:rsidRDefault="00A13570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737D606" w14:textId="77777777" w:rsidR="00E91207" w:rsidRDefault="00E91207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30FC38" w14:textId="77777777" w:rsidR="00E91207" w:rsidRDefault="00E91207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741A68BC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3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3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0CE7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B3FA7"/>
    <w:rsid w:val="001B5D27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C0499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E26A0"/>
    <w:rsid w:val="003F4EE9"/>
    <w:rsid w:val="003F74D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1B48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5D05A9"/>
    <w:rsid w:val="00603B1F"/>
    <w:rsid w:val="00604CED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6F7E86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06CB7"/>
    <w:rsid w:val="00931E3F"/>
    <w:rsid w:val="0093587B"/>
    <w:rsid w:val="00940417"/>
    <w:rsid w:val="00940EBC"/>
    <w:rsid w:val="00955316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13570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DF7E78"/>
    <w:rsid w:val="00E00401"/>
    <w:rsid w:val="00E21A7B"/>
    <w:rsid w:val="00E300FD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6BE4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2607E"/>
    <w:rsid w:val="00F54F94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2025-02-17T13:30:00Z</cp:lastPrinted>
  <dcterms:created xsi:type="dcterms:W3CDTF">2025-02-09T20:24:00Z</dcterms:created>
  <dcterms:modified xsi:type="dcterms:W3CDTF">2025-02-17T14:26:00Z</dcterms:modified>
</cp:coreProperties>
</file>