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143/2026)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CARGO DE DIRETOR DE AGRICULTURA NA LEI MUNICIPAL                       N.° 108/2002”.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para apreciação da Comissão de Finanças e Orçamento, com a finalidade de alterar o Quadro de Cargos em Comissão previsto no Anexo II da Lei Municipal nº 108, de 1º de outubro de 2002, criando o cargo de Diretor de Agricultura,  CC/FG-09, lotado na Secretaria de Planejamento e Meio Ambiente, com a correspondente vaga e remuneração.Em contrapartida, o projeto prevê a extinção do cargo de Assessor de Agropecuária, pertencente à Secretaria de Desenvolvimento Econômico e Turismo, buscando a reorganização da estrutura administrativa municipal. Na justificativa apresentada, a criação do novo cargo visa adequar a secretaria às demandas atuais, possibilitando atuação mais especializada, atendimento eficiente e cumprimento de programas e exigências relacionados ao setor agrícola. Durante a análise da Comissão, o Executivo Municipal encaminhou Mensagem Retificativa, alterando as atribuições do cargo de Diretor de Agricultura no anexo I do Projeto de Lei.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30/03/2026.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xRVHLedC01SEKRIfQv2suWCiQ==">CgMxLjAyDmguOGpwaGtrOTRsbTltMg5oLnUwcjlwZG9rZng3MTIOaC5zaHg0eDE3a2V0djM4AHIhMU51RzRPSmx1OTl1cWdKMmt2VjB1cFJjU2hjUkYweXND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