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jcfz8kd2p4f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679/2025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GRATIFICAÇÃO ESPECIAL DE APOIO ADMINISTRATIVO E OPERACIONAL DA SECRETARIA MUNICIPAL DE EDUCAÇÃO, CULTURA, ESPORTE E LAZER”.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/>
      </w:pPr>
      <w:bookmarkStart w:colFirst="0" w:colLast="0" w:name="_ajcszn5gbwt" w:id="2"/>
      <w:bookmarkEnd w:id="2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 com a finalidade de criar uma Gratificação Especial destinada ao servidor efetivo designado para exercer funções de Apoio Administrativo e Operacional na Secretaria Municipal de Educação, Cultura, Esporte e Lazer. A gratificação terá valor mensal de 2 URS, será concedida por designação do Prefeito formalizada por portaria e não se incorpora ao salário do servidor. As atividades relacionadas à função constam no Anexo I, e o Poder Executivo fica autorizado a abrir crédito adicional para custear as despesas decorrentes da medida.</w:t>
      </w:r>
    </w:p>
    <w:p w:rsidR="00000000" w:rsidDel="00000000" w:rsidP="00000000" w:rsidRDefault="00000000" w:rsidRPr="00000000" w14:paraId="0000000E">
      <w:pPr>
        <w:ind w:firstLine="720"/>
        <w:jc w:val="both"/>
        <w:rPr/>
      </w:pPr>
      <w:bookmarkStart w:colFirst="0" w:colLast="0" w:name="_8eonzyohou0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/>
      </w:pPr>
      <w:bookmarkStart w:colFirst="0" w:colLast="0" w:name="_zij07m16ucu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5"/>
      <w:bookmarkEnd w:id="5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6"/>
      <w:bookmarkEnd w:id="6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