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ds9zybt5rbg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678/2025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JOCEMAR CASAGRANDE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GRATIFICAÇÃO ESPECIAL DE GESTOR DE SERVIÇOS DA SECRETARIA MUNICIPAL DE EDUCAÇÃO, CULTURA, ESPORTE E LAZER”.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b w:val="1"/>
          <w:bCs w:val="1"/>
          <w:u w:val="single"/>
        </w:rPr>
      </w:pPr>
      <w:bookmarkStart w:colFirst="0" w:colLast="0" w:name="_ajcszn5gbwt" w:id="2"/>
      <w:bookmarkEnd w:id="2"/>
      <w:r w:rsidDel="00000000" w:rsidR="00000000" w:rsidRPr="00000000">
        <w:rPr>
          <w:rtl w:val="0"/>
        </w:rPr>
        <w:t xml:space="preserve">Veio o Projeto de Lei para apreciação da Comissão de Infraestrutura, Desenvolvimento e Bem-Estar Social,  com a finalidade de criar uma Gratificação Especial para o servidor efetivo designado como Gestor de Serviços da Secretaria Municipal de Educação, Cultura, Esporte e Lazer, com valor mensal de 2 URS. A nomeação será feita pelo Prefeito por portaria, e a gratificação não será incorporada ao salário do servidor. As atribuições da função constam no Anexo I, e o Executivo fica autorizado a abrir crédito adicional para custear as despesas decorrentes da nova gratificação.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jc w:val="both"/>
        <w:rPr/>
      </w:pPr>
      <w:bookmarkStart w:colFirst="0" w:colLast="0" w:name="_5b9ug1zhai7n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bookmarkStart w:colFirst="0" w:colLast="0" w:name="_8eonzyohou0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do referido Projeto de Lei , o Relator manifesta-se contrário à tramitação da  matéria, em razão de o Poder Executivo apresentar índice de gastos com pessoal superior ao limite prudencial estabelecido pela Lei de Responsabilidade Fiscal, tornando vedado o prosseguimento da proposição, nos termos do parágrafo único do Art. 22 da LRF.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/>
      </w:pPr>
      <w:bookmarkStart w:colFirst="0" w:colLast="0" w:name="_b06cmr3vpg1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/>
      </w:pPr>
      <w:bookmarkStart w:colFirst="0" w:colLast="0" w:name="_zij07m16ucui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7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7"/>
      <w:bookmarkEnd w:id="7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8"/>
      <w:bookmarkEnd w:id="8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