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>
          <w:b w:val="1"/>
          <w:bCs w:val="1"/>
          <w:sz w:val="26"/>
          <w:szCs w:val="26"/>
          <w:u w:val="single"/>
        </w:rPr>
      </w:pPr>
      <w:bookmarkStart w:colFirst="0" w:colLast="0" w:name="_heading=h.8jphkk94lm9m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bookmarkStart w:colFirst="0" w:colLast="0" w:name="_heading=h.u0r9pdokfx71" w:id="1"/>
      <w:bookmarkEnd w:id="1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819/2025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 </w:t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096/2025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28/11/2025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 </w:t>
      </w:r>
      <w:r w:rsidDel="00000000" w:rsidR="00000000" w:rsidRPr="00000000">
        <w:rPr>
          <w:rtl w:val="0"/>
        </w:rPr>
        <w:t xml:space="preserve">PODER EXECUTIVO 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rtl w:val="0"/>
        </w:rPr>
        <w:t xml:space="preserve">“AUTORIZA ABERTURA DE CRÉDITO ADICIONAL DE NATUREZA SUPLEMENTAR NO VALOR R$220.500,00 À SECRETARIA MUNICIPAL DE EDUCAÇÃO”.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C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bookmarkStart w:colFirst="0" w:colLast="0" w:name="_heading=h.shx4x17ketv3" w:id="2"/>
      <w:bookmarkEnd w:id="2"/>
      <w:r w:rsidDel="00000000" w:rsidR="00000000" w:rsidRPr="00000000">
        <w:rPr>
          <w:rtl w:val="0"/>
        </w:rPr>
        <w:t xml:space="preserve">O Projeto de Lei encaminhado para apreciação da Comissão de Finanças e Orçamento, objetiva autorizar o Poder Executivo a abrir crédito especial de R$ 220.500,00 (duzentos e vinte mil e quinhentos reais) no orçamento vigente, conforme a Lei Federal nº 4.320/64, destinado à Secretaria Municipal de Educação, Cultura, Esporte e Lazer, especificamente à Unidade Administrativa do Ensino Fundamental – MDE, para reforço das dotações de Vencimentos e Vantagens Fixas e Auxílio Alimentação. O crédito será coberto pelo excesso de arrecadação do recurso MDE no exercício de 2025, permitindo ao Município incluir no orçamento os valores necessários para assegurar o pagamento da folha de pessoal e do auxílio alimentação referente ao mês de dezembro de 2025.</w:t>
      </w:r>
    </w:p>
    <w:p w:rsidR="00000000" w:rsidDel="00000000" w:rsidP="00000000" w:rsidRDefault="00000000" w:rsidRPr="00000000" w14:paraId="0000000E">
      <w:pPr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mesmo encontra-se apto para a tramitação com o mérito de sua aprovação ao Plenário.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jc w:val="both"/>
        <w:rPr/>
      </w:pPr>
      <w:r w:rsidDel="00000000" w:rsidR="00000000" w:rsidRPr="00000000">
        <w:rPr>
          <w:color w:val="ff99cc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08/12/2025.</w:t>
      </w:r>
    </w:p>
    <w:p w:rsidR="00000000" w:rsidDel="00000000" w:rsidP="00000000" w:rsidRDefault="00000000" w:rsidRPr="00000000" w14:paraId="00000013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after="160" w:line="259" w:lineRule="auto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_____________________________________________</w:t>
        <w:tab/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bookmarkStart w:colFirst="0" w:colLast="0" w:name="_heading=h.cmpae1uvvlvb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MDB:_______________________________________________</w:t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TIAGO ARCE PICAZ – PODEMOS: ________________________________________________</w:t>
      </w:r>
    </w:p>
    <w:p w:rsidR="00000000" w:rsidDel="00000000" w:rsidP="00000000" w:rsidRDefault="00000000" w:rsidRPr="00000000" w14:paraId="00000032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6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7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8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-613</wp:posOffset>
          </wp:positionH>
          <wp:positionV relativeFrom="paragraph">
            <wp:posOffset>-613</wp:posOffset>
          </wp:positionV>
          <wp:extent cx="5753100" cy="876300"/>
          <wp:effectExtent b="0" l="0" r="0" t="0"/>
          <wp:wrapNone/>
          <wp:docPr descr="logo_acegua_color" id="109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110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6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7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8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9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3628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 w:val="1"/>
    <w:rsid w:val="00CE69CF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E69CF"/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5351D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15351D"/>
    <w:rPr>
      <w:rFonts w:ascii="Tahoma" w:cs="Tahoma" w:eastAsia="Times New Roman" w:hAnsi="Tahoma"/>
      <w:sz w:val="16"/>
      <w:szCs w:val="16"/>
      <w:lang w:eastAsia="pt-BR"/>
    </w:rPr>
  </w:style>
  <w:style w:type="paragraph" w:styleId="Default" w:customStyle="1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OFdHqCPqyZz3UUc8+ZaXOOjo1Q==">CgMxLjAyDmguOGpwaGtrOTRsbTltMg5oLnUwcjlwZG9rZng3MTIOaC5zaHg0eDE3a2V0djMyDmguY21wYWUxdXZ2bHZiOAByITE0RTJiVWVOZHpGVUlzY0oxblhrVlU3SkNmY1VlTTFiMg==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2025-08-01T15:58:00Z</dcterms:created>
  <dc:creator>Diretora</dc:creator>
</cp:coreProperties>
</file>