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NO ART. 21 DA LEI 108/2002 OS CARGOS DE SECRETÁRIOS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Projeto de Lei à Comissão de Finanças e Orçamento para criação de cargos de Secretário nas pastas da Secretaria Municipal de Administração e Recursos Humanos (SMARH), com a finalidade de agilizar processos administrativos, capacitar servidores e aprimorar a eficiência do serviço público, e da Secretaria Municipal de Cultura, Turismo, Esporte e Lazer (SMCTEL), destinada a ampliar a participação comunitária, fortalecer eventos culturais e esportivos e desenvolver o turismo, todos inseridos no art. 21 da Lei nº 108/2002, estabelecendo suas respectivas atribuições. Além disso, a Comissão de Legislação, Justiça e Redação Final apresentou Emenda (Processo n.º 771/2025), conferindo nova redação ao art. 1º e ao anexo do Projeto de Lei.</w:t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Emenda,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9LE2Ozc87dthPZmsDrptlKUsJA==">CgMxLjAyDmgudTByOXBkb2tmeDcxMg5oLjVpemF3cDRjZmM5ZzIOaC5jbXBhZTF1dnZsdmI4AHIhMUJhLXB3c21KZEFlTDBLUVdHRFFOOVB5a051NFVGTUh6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