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jwt4d1e23uz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513/2025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698/2025)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A LEI ORDINÁRIA N.° 859/2010”.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        Veio o presente Projeto de Lei com Mensagem Retificativa (Processo n.° 698/2025) para apreciação da Comissão, com a finalidade de alterar o Art. 3º e o §1º da Lei Ordinária nº 859/2010 e da Lei nº 1.138/2013, que tratam da forma e dos percentuais de repasse ao Instituto de Previdência do Estado do Rio Grande do Sul – IPERGS. 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firstLine="720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3g7xsvom8pnk" w:id="3"/>
      <w:bookmarkEnd w:id="3"/>
      <w:r w:rsidDel="00000000" w:rsidR="00000000" w:rsidRPr="00000000">
        <w:rPr>
          <w:rtl w:val="0"/>
        </w:rPr>
        <w:t xml:space="preserve">Após o encaminhamento do Projeto de Lei, o Poder Executivo remeteu à Câmara Municipal a Mensagem Retificativa, com o objetivo de ajustar o inciso III e criar o inciso IV no §1º do Art. 3º, estabelecendo nova redação para os percentuais de contribuição do município, conforme segue: Art. 3º (...) §1º (...) I – (...) II – (...) III – 50% (cinquenta por cento) para os servidores de nível 4 e 5 regidos pela Lei nº 108/2002, estatutários regidos pela Lei nº 109/2002, celetistas, contratados, ocupantes de cargos em comissão de nível 01 a 07 e conselheiros tutelares; IV – 40% (quarenta por cento) para o nível 06, ocupantes de cargos em comissão de nível 08 e 09, e agentes políticos do Poder Executivo e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rtl w:val="0"/>
        </w:rPr>
        <w:t xml:space="preserve">Após análise do referido Projeto de Lei com Mensagem Retificativa (Processo n.°698/2025), o Relator manifesta-se pela tramitação regimental e aprovação da matéria.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24/11/2025.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3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Q/HTl/lLGTo7GWDW5y4bp+eVw==">CgMxLjAyDmguand0NGQxZTIzdXpxMg5oLnUwcjlwZG9rZng3MTIOaC5pbHBqMDh3NDV0OXkyDmguM2c3eHN2b204cG5rMg5oLmNtcGFlMXV2dmx2YjgAciExRl9PQUdVbElhMHZOZ0dpWk9XWXM0U1RXcVE4OEk1Zjg=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