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666/2025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“REVOGAM-SE AS LEI MUNICIPAL N.º 1.465/2015 E 1.710/2019”.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revogar as Leis Municipais nº 1.465/2015 e nº 1.710/2019, que dispõem sobre a concessão de diárias e indenização alimentar aos servidores municipais ocupantes do cargo de motorista. Objetiva-se unificar o tratamento legal referente ao pagamento de diárias no âmbito da Administração Municipal, fazendo com que os motoristas passem a se enquadrar nas normas gerais vigentes sobre diárias aplicáveis aos demais servidores públicos municipais.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5tw6lv9612x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24/11/2025.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tmKdJMTx6/A15HBtDAglrLCrJA==">CgMxLjAyDmguOGpwaGtrOTRsbTltMg5oLnUwcjlwZG9rZng3MTIOaC5pbHBqMDh3NDV0OXkyDmguNXR3Nmx2OTYxMnhvMg5oLmNtcGFlMXV2dmx2YjgAciExQkRORmFLQ0g2NHF4ZnNRTDJnMFZJd0RpNXR0cEt1UG4=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