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bqwo0iwt3ah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666/2025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“REVOGAM-SE AS LEI MUNICIPAL N.º 1.465/2015 E 1.710/2019”.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revogar as Leis Municipais nº 1.465/2015 e nº 1.710/2019, que dispõem sobre a concessão de diárias e indenização alimentar aos servidores municipais ocupantes do cargo de motorista. Objetiva-se unificar o tratamento legal referente ao pagamento de diárias no âmbito da Administração Municipal, fazendo com que os motoristas passem a se enquadrar nas normas gerais vigentes sobre diárias aplicáveis aos demais servidores públicos municipais.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heading=h.88qf8u5y74o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24/11/2025.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B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2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/>
      </w:pPr>
      <w:bookmarkStart w:colFirst="0" w:colLast="0" w:name="_heading=h.3g4hg3olpemq" w:id="4"/>
      <w:bookmarkEnd w:id="4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2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8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F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40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1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zCgi+6frw/GaQE1hIy7kIqItzg==">CgMxLjAyDmguYnF3bzBpd3QzYWg3Mg5oLnUwcjlwZG9rZng3MTIOaC5pbHBqMDh3NDV0OXkyDmguODhxZjh1NXk3NG9lMg5oLjNnNGhnM29scGVtcTgAciExNlVhUllybEFDeXlZbnZROGpLUWptT2lnVlRMWWF2WWg=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