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674/2025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LIZIANE JARDIM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A GRATIFICAÇÃO PARA RESPONSÁVEL PELAS AQUISIÇÕES DE MATERIAIS E CONTRATOS E REVOGA GRATIFICAÇÕES ESPECIAIS”.</w:t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inconstitucionalidade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0" w:firstLine="0"/>
        <w:jc w:val="both"/>
        <w:rPr>
          <w:b w:val="1"/>
          <w:bCs w:val="1"/>
          <w:u w:val="single"/>
        </w:rPr>
      </w:pPr>
      <w:bookmarkStart w:colFirst="0" w:colLast="0" w:name="_heading=h.ilpj08w45t9y" w:id="1"/>
      <w:bookmarkEnd w:id="1"/>
      <w:r w:rsidDel="00000000" w:rsidR="00000000" w:rsidRPr="00000000">
        <w:rPr>
          <w:rtl w:val="0"/>
        </w:rPr>
        <w:t xml:space="preserve">Veio o presente Projeto de Lei para apreciação da Comissão de Legislação, Justiça e Redação Final, com a finalidade de criar uma Gratificação Especial destinada ao servidor designado como Responsável pelas Aquisições de Materiais e Contratos no âmbito da administração municipal. Essa gratificação terá o valor mensal correspondente a 2 Unidades de Referência Salarial (URS) e será concedida mediante designação do Prefeito, formalizada por portaria. O PL estabelece que o valor da gratificação não se incorpora ao vencimento do servidor para nenhum fim e que as atividades correspondentes estão descritas no Anexo I da própria lei. Além disso, o projeto revoga as Leis Municipais nº 1507/2016 (que tratava da gratificação de Assistência Farmacêutica) e nº 1720/2019 (que concedia gratificação ao servidor responsável pelo NASF – Núcleo de Apoio à Saúde da Família). Por fim, o Executivo fica autorizado a abrir crédito adicional para cobrir as despesas decorrentes da nova lei, que entrará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matéria, VOTO PELA INCONSTITUCIONALIDADE da matéria, em razão do Poder Executivo estar apresentando índice de gastos com pessoal superior ao limite prudencial estabelecido pela LRF, estando o objeto da proposição vedado, com base no previsto no parágrafo único do art. 22 da Lei de Responsabilidade Fiscal.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17/11/2025.</w:t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/>
      </w:pPr>
      <w:bookmarkStart w:colFirst="0" w:colLast="0" w:name="_heading=h.3g4hg3olpemq" w:id="2"/>
      <w:bookmarkEnd w:id="2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-624</wp:posOffset>
          </wp:positionH>
          <wp:positionV relativeFrom="paragraph">
            <wp:posOffset>-624</wp:posOffset>
          </wp:positionV>
          <wp:extent cx="5753100" cy="876300"/>
          <wp:effectExtent b="0" l="0" r="0" t="0"/>
          <wp:wrapNone/>
          <wp:docPr descr="logo_acegua_color" id="6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6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8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9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A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UMLFBbcFPKBQaiMknBmfWpINJA==">CgMxLjAyDmgudTByOXBkb2tmeDcxMg5oLmlscGowOHc0NXQ5eTIOaC4zZzRoZzNvbHBlbXE4AHIhMW00Z1UzdVQ0dzRiTUtzWTY1Tk13MldyOU03bmZ4c19I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