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669/2025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               N.° 746/2025) E EMENDA (PROCESSO N.° 770/2025)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“INSTITUI A ESTRUTURA ADMINISTRATIVA DO MUNICÍPIO DE ACEGUÁ”.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firstLine="72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   Veio o presente Projeto de Lei para apreciação da Comissão de Legislação, Justiça e Redação Final, com a finalidade de reformular a Estrutura Administrativa do município. O Projeto de Lei estabelece a divisão entre Órgãos de Apoio Administrativo, como o Gabinete do Prefeito, Procuradoria Jurídica, Sistema de Controle Interno, Gabinete do Vice-Prefeito, e as Secretarias de Fazenda, Administração e Recursos Humanos, Planejamento e Meio Ambiente, e Órgãos Executivos Municipais, compreendendo as Secretarias de Educação; Cultura, Turismo, Esporte e Lazer; Saúde e Assistência Social; Desenvolvimento Econômico; e Obras e Serviços Públicos.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  <w:t xml:space="preserve">            Destacam-se a criação da Secretaria de Administração e Recursos Humanos e da Secretaria de Cultura, Turismo, Esporte e Lazer, bem como a revogação das legislações anteriores relativas à estrutura administrativa. Durante a tramitação, o Executivo apresentou Mensagem Retificativa, alterando o item I do art. 1º e a justificativa do Projeto de Lei. 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firstLine="720"/>
        <w:jc w:val="both"/>
        <w:rPr/>
      </w:pPr>
      <w:bookmarkStart w:colFirst="0" w:colLast="0" w:name="_heading=h.9jmab19cxswd" w:id="3"/>
      <w:bookmarkEnd w:id="3"/>
      <w:r w:rsidDel="00000000" w:rsidR="00000000" w:rsidRPr="00000000">
        <w:rPr>
          <w:rtl w:val="0"/>
        </w:rPr>
        <w:t xml:space="preserve">Ademais, durante a tramitação, a respectiva Comissão, apresentou a seguinte Emenda:                   “Dá nova redação ao Art. 1.º do Projeto de Lei, passando a vigorar com a seguinte redação:             Art.1. °...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/>
      </w:pPr>
      <w:bookmarkStart w:colFirst="0" w:colLast="0" w:name="_heading=h.ucr68yxoowoe" w:id="4"/>
      <w:bookmarkEnd w:id="4"/>
      <w:r w:rsidDel="00000000" w:rsidR="00000000" w:rsidRPr="00000000">
        <w:rPr>
          <w:rtl w:val="0"/>
        </w:rPr>
        <w:t xml:space="preserve"> I - ÓRGÃOS DE APOIO ADMINISTRATIVO: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/>
      </w:pPr>
      <w:bookmarkStart w:colFirst="0" w:colLast="0" w:name="_heading=h.m464bwplfmjc" w:id="5"/>
      <w:bookmarkEnd w:id="5"/>
      <w:r w:rsidDel="00000000" w:rsidR="00000000" w:rsidRPr="00000000">
        <w:rPr>
          <w:rtl w:val="0"/>
        </w:rPr>
        <w:t xml:space="preserve"> - Gabinete do Prefeito;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/>
      </w:pPr>
      <w:bookmarkStart w:colFirst="0" w:colLast="0" w:name="_heading=h.rz6jp197wx82" w:id="6"/>
      <w:bookmarkEnd w:id="6"/>
      <w:r w:rsidDel="00000000" w:rsidR="00000000" w:rsidRPr="00000000">
        <w:rPr>
          <w:rtl w:val="0"/>
        </w:rPr>
        <w:t xml:space="preserve"> - Procuradoria Jurídica;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/>
      </w:pPr>
      <w:bookmarkStart w:colFirst="0" w:colLast="0" w:name="_heading=h.8oc8ryxdfpn2" w:id="7"/>
      <w:bookmarkEnd w:id="7"/>
      <w:r w:rsidDel="00000000" w:rsidR="00000000" w:rsidRPr="00000000">
        <w:rPr>
          <w:rtl w:val="0"/>
        </w:rPr>
        <w:t xml:space="preserve"> -  Sistema de Controle Interno;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/>
      </w:pPr>
      <w:bookmarkStart w:colFirst="0" w:colLast="0" w:name="_heading=h.68ufy0ly5v7n" w:id="8"/>
      <w:bookmarkEnd w:id="8"/>
      <w:r w:rsidDel="00000000" w:rsidR="00000000" w:rsidRPr="00000000">
        <w:rPr>
          <w:rtl w:val="0"/>
        </w:rPr>
        <w:t xml:space="preserve"> -  Gabinete do Vice-Prefeito;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/>
      </w:pPr>
      <w:bookmarkStart w:colFirst="0" w:colLast="0" w:name="_heading=h.3abybj8aze7n" w:id="9"/>
      <w:bookmarkEnd w:id="9"/>
      <w:r w:rsidDel="00000000" w:rsidR="00000000" w:rsidRPr="00000000">
        <w:rPr>
          <w:rtl w:val="0"/>
        </w:rPr>
        <w:t xml:space="preserve"> - Secretaria Municipal de Administração e Fazenda; 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/>
      </w:pPr>
      <w:bookmarkStart w:colFirst="0" w:colLast="0" w:name="_heading=h.nb07dcfistf8" w:id="10"/>
      <w:bookmarkEnd w:id="10"/>
      <w:r w:rsidDel="00000000" w:rsidR="00000000" w:rsidRPr="00000000">
        <w:rPr>
          <w:rtl w:val="0"/>
        </w:rPr>
        <w:t xml:space="preserve">- Secretaria Municipal de Planejamento e Meio Ambiente; 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/>
      </w:pPr>
      <w:bookmarkStart w:colFirst="0" w:colLast="0" w:name="_heading=h.4ajt3hkriale" w:id="11"/>
      <w:bookmarkEnd w:id="11"/>
      <w:r w:rsidDel="00000000" w:rsidR="00000000" w:rsidRPr="00000000">
        <w:rPr>
          <w:rtl w:val="0"/>
        </w:rPr>
        <w:t xml:space="preserve"> - Secretária Geral de Governo. NR ".</w:t>
      </w:r>
    </w:p>
    <w:p w:rsidR="00000000" w:rsidDel="00000000" w:rsidP="00000000" w:rsidRDefault="00000000" w:rsidRPr="00000000" w14:paraId="00000017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A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 com Mensagem Retificativa (Processo n.° 746/2025) e Emenda (Processo n.° 770/2025), VOTO PELA CONSTITUCIONALIDADE, LEGALIDADE E REGIMENTALIDADE da matéria.</w:t>
      </w:r>
    </w:p>
    <w:p w:rsidR="00000000" w:rsidDel="00000000" w:rsidP="00000000" w:rsidRDefault="00000000" w:rsidRPr="00000000" w14:paraId="0000001C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E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21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26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sz w:val="22"/>
          <w:szCs w:val="22"/>
        </w:rPr>
      </w:pPr>
      <w:bookmarkStart w:colFirst="0" w:colLast="0" w:name="_heading=h.3g4hg3olpemq" w:id="12"/>
      <w:bookmarkEnd w:id="1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DISCORDA DO VOTO DO(A) RELATOR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6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after="16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A">
      <w:pPr>
        <w:widowControl w:val="0"/>
        <w:spacing w:after="16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B">
      <w:pPr>
        <w:keepNext w:val="1"/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F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0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1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x18LplqiMI92AYDza6rNzZ0+w==">CgMxLjAyDmgudTByOXBkb2tmeDcxMg5oLmlscGowOHc0NXQ5eTIOaC44OHFmOHU1eTc0b2UyDmguOWptYWIxOWN4c3dkMg5oLnVjcjY4eXhvb3dvZTIOaC5tNDY0YndwbGZtamMyDmgucno2anAxOTd3eDgyMg5oLjhvYzhyeXhkZnBuMjIOaC42OHVmeTBseTV2N24yDmguM2FieWJqOGF6ZTduMg5oLm5iMDdkY2Zpc3RmODIOaC40YWp0M2hrcmlhbGUyDmguM2c0aGczb2xwZW1xOAByITFZSlRpc3J6bS1kM2J6ZTlUdmdMVHRoZ1VNT19Pb2tK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