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4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REDAÇÃO FINAL DO </w:t>
      </w:r>
    </w:p>
    <w:p w:rsidR="00000000" w:rsidDel="00000000" w:rsidP="00000000" w:rsidRDefault="00000000" w:rsidRPr="00000000" w14:paraId="00000005">
      <w:pPr>
        <w:ind w:left="1416" w:firstLine="707.999999999999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PROJETO DE LEI N.º 051/2025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42" w:right="-142" w:firstLine="85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 Câmara Municipal de Vereadores de Aceguá, Estado do Rio Grande do Sul, reunida em Sessão Ordinária, realizada em 06 de outubro de 2025 aprovou, de autoria do Poder Executivo,                                        o seguinte:</w:t>
      </w:r>
      <w:r w:rsidDel="00000000" w:rsidR="00000000" w:rsidRPr="00000000">
        <w:rPr>
          <w:color w:val="ff0000"/>
          <w:rtl w:val="0"/>
        </w:rPr>
        <w:t xml:space="preserve">                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142" w:right="-142" w:firstLine="0"/>
        <w:jc w:val="center"/>
        <w:rPr>
          <w:color w:val="ff0000"/>
        </w:rPr>
      </w:pPr>
      <w:bookmarkStart w:colFirst="0" w:colLast="0" w:name="_heading=h.zdh4764tp8zd" w:id="0"/>
      <w:bookmarkEnd w:id="0"/>
      <w:r w:rsidDel="00000000" w:rsidR="00000000" w:rsidRPr="00000000">
        <w:rPr>
          <w:b w:val="1"/>
          <w:rtl w:val="0"/>
        </w:rPr>
        <w:t xml:space="preserve">PROJETO DE LEI N.º 051/2025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57" w:lineRule="auto"/>
        <w:ind w:left="4956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Fixa o valor do auxílio alimentação aos Servidores Municipais.</w:t>
      </w:r>
    </w:p>
    <w:p w:rsidR="00000000" w:rsidDel="00000000" w:rsidP="00000000" w:rsidRDefault="00000000" w:rsidRPr="00000000" w14:paraId="0000000B">
      <w:pPr>
        <w:spacing w:before="57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57" w:lineRule="auto"/>
        <w:jc w:val="both"/>
        <w:rPr/>
      </w:pPr>
      <w:r w:rsidDel="00000000" w:rsidR="00000000" w:rsidRPr="00000000">
        <w:rPr>
          <w:b w:val="1"/>
          <w:rtl w:val="0"/>
        </w:rPr>
        <w:t xml:space="preserve">                    Art. 1.°</w:t>
      </w:r>
      <w:r w:rsidDel="00000000" w:rsidR="00000000" w:rsidRPr="00000000">
        <w:rPr>
          <w:rtl w:val="0"/>
        </w:rPr>
        <w:t xml:space="preserve"> Fica o Poder Executivo de Aceguá autorizado a instituir o Auxílio Alimentação de participação facultativa, aos Servidores Efetivos, Empregados Públicos, Cargos em Comissão, Conselheiros Tutelares, Contratos Emergenciais e Estagiários com bolsa-auxílio a título de alimentação no valor de R$ 600,00. </w:t>
      </w:r>
    </w:p>
    <w:p w:rsidR="00000000" w:rsidDel="00000000" w:rsidP="00000000" w:rsidRDefault="00000000" w:rsidRPr="00000000" w14:paraId="0000000D">
      <w:pPr>
        <w:spacing w:before="57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57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Art. 2.º</w:t>
      </w:r>
      <w:r w:rsidDel="00000000" w:rsidR="00000000" w:rsidRPr="00000000">
        <w:rPr>
          <w:rtl w:val="0"/>
        </w:rPr>
        <w:t xml:space="preserve"> Os beneficiários contribuirão, a título de participação com desconto em folha, no percentual de 5% (cinco por cento) do valor total dos vales creditados, por ocasião do pagamento da folha ou da bolsa-auxílio. </w:t>
      </w:r>
    </w:p>
    <w:p w:rsidR="00000000" w:rsidDel="00000000" w:rsidP="00000000" w:rsidRDefault="00000000" w:rsidRPr="00000000" w14:paraId="0000000F">
      <w:pPr>
        <w:spacing w:before="57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57" w:lineRule="auto"/>
        <w:jc w:val="both"/>
        <w:rPr/>
      </w:pPr>
      <w:r w:rsidDel="00000000" w:rsidR="00000000" w:rsidRPr="00000000">
        <w:rPr>
          <w:b w:val="1"/>
          <w:rtl w:val="0"/>
        </w:rPr>
        <w:t xml:space="preserve">                    Art. 3.º</w:t>
      </w:r>
      <w:r w:rsidDel="00000000" w:rsidR="00000000" w:rsidRPr="00000000">
        <w:rPr>
          <w:rtl w:val="0"/>
        </w:rPr>
        <w:t xml:space="preserve"> O benefício de que trata esta Lei será feito em pecúnia, cuja natureza indenizatória não será computada para efeito de cálculo de quaisquer vantagens funcionais, não configurando rendimento tributável e nem integrando o salário de contribuição previdenciária.</w:t>
      </w:r>
    </w:p>
    <w:p w:rsidR="00000000" w:rsidDel="00000000" w:rsidP="00000000" w:rsidRDefault="00000000" w:rsidRPr="00000000" w14:paraId="00000011">
      <w:pPr>
        <w:spacing w:before="57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57" w:lineRule="auto"/>
        <w:ind w:firstLine="708"/>
        <w:jc w:val="both"/>
        <w:rPr/>
      </w:pPr>
      <w:r w:rsidDel="00000000" w:rsidR="00000000" w:rsidRPr="00000000">
        <w:rPr>
          <w:b w:val="1"/>
          <w:rtl w:val="0"/>
        </w:rPr>
        <w:t xml:space="preserve">         § 1.°</w:t>
      </w:r>
      <w:r w:rsidDel="00000000" w:rsidR="00000000" w:rsidRPr="00000000">
        <w:rPr>
          <w:rtl w:val="0"/>
        </w:rPr>
        <w:t xml:space="preserve"> O pagamento será realizado até o dia 05 do mês subsequente ao da aquisição do direito, mediante depósito na conta bancária informada pelo servidor para recebimento de sua remuneração. </w:t>
      </w:r>
    </w:p>
    <w:p w:rsidR="00000000" w:rsidDel="00000000" w:rsidP="00000000" w:rsidRDefault="00000000" w:rsidRPr="00000000" w14:paraId="00000013">
      <w:pPr>
        <w:spacing w:before="57" w:lineRule="auto"/>
        <w:ind w:firstLine="708"/>
        <w:jc w:val="both"/>
        <w:rPr/>
      </w:pPr>
      <w:r w:rsidDel="00000000" w:rsidR="00000000" w:rsidRPr="00000000">
        <w:rPr>
          <w:b w:val="1"/>
          <w:rtl w:val="0"/>
        </w:rPr>
        <w:t xml:space="preserve">         § 2.°</w:t>
      </w:r>
      <w:r w:rsidDel="00000000" w:rsidR="00000000" w:rsidRPr="00000000">
        <w:rPr>
          <w:rtl w:val="0"/>
        </w:rPr>
        <w:t xml:space="preserve"> Será descontado do valor do auxílio alimentação a ser pago ao Servidor, a razão de 1/30 (um sobre trinta avos) por dia, correspondente às faltas ocorridas durante o mês anterior. </w:t>
      </w:r>
    </w:p>
    <w:p w:rsidR="00000000" w:rsidDel="00000000" w:rsidP="00000000" w:rsidRDefault="00000000" w:rsidRPr="00000000" w14:paraId="00000014">
      <w:pPr>
        <w:spacing w:before="57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57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Art. 4.°</w:t>
      </w:r>
      <w:r w:rsidDel="00000000" w:rsidR="00000000" w:rsidRPr="00000000">
        <w:rPr>
          <w:rtl w:val="0"/>
        </w:rPr>
        <w:t xml:space="preserve"> Os valores do presente benefício serão corrigidos na mesma data e no mesmo índice concedido na revisão geral do salário dos Servidores. </w:t>
      </w:r>
    </w:p>
    <w:p w:rsidR="00000000" w:rsidDel="00000000" w:rsidP="00000000" w:rsidRDefault="00000000" w:rsidRPr="00000000" w14:paraId="00000016">
      <w:pPr>
        <w:spacing w:before="57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57" w:lineRule="auto"/>
        <w:ind w:firstLine="708"/>
        <w:jc w:val="both"/>
        <w:rPr/>
      </w:pPr>
      <w:r w:rsidDel="00000000" w:rsidR="00000000" w:rsidRPr="00000000">
        <w:rPr>
          <w:b w:val="1"/>
          <w:rtl w:val="0"/>
        </w:rPr>
        <w:t xml:space="preserve">       Art. 5.°</w:t>
      </w:r>
      <w:r w:rsidDel="00000000" w:rsidR="00000000" w:rsidRPr="00000000">
        <w:rPr>
          <w:rtl w:val="0"/>
        </w:rPr>
        <w:t xml:space="preserve"> Não farão jus ao benefício instituído pela presente Lei, os servidores Municipais que estiverem afastados do exercício do serviço, inclusive nas hipóteses previstas na legislação vigente. </w:t>
      </w:r>
    </w:p>
    <w:p w:rsidR="00000000" w:rsidDel="00000000" w:rsidP="00000000" w:rsidRDefault="00000000" w:rsidRPr="00000000" w14:paraId="00000018">
      <w:pPr>
        <w:spacing w:before="57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§ 1.°</w:t>
      </w:r>
      <w:r w:rsidDel="00000000" w:rsidR="00000000" w:rsidRPr="00000000">
        <w:rPr>
          <w:rtl w:val="0"/>
        </w:rPr>
        <w:t xml:space="preserve"> Para os efeitos desta Lei serão considerados dias trabalhados, os dias de faltas justificadas em caso de afastamento por motivo de acidente em serviço, sendo que o percentual de 5% (cinco por cento) a título de participação dos beneficiários será custeado pela administração municipal nesse período. </w:t>
      </w:r>
    </w:p>
    <w:p w:rsidR="00000000" w:rsidDel="00000000" w:rsidP="00000000" w:rsidRDefault="00000000" w:rsidRPr="00000000" w14:paraId="00000019">
      <w:pPr>
        <w:spacing w:before="57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1A">
      <w:pPr>
        <w:spacing w:before="57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57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57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57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57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57" w:lineRule="auto"/>
        <w:ind w:firstLine="708"/>
        <w:jc w:val="both"/>
        <w:rPr/>
      </w:pPr>
      <w:r w:rsidDel="00000000" w:rsidR="00000000" w:rsidRPr="00000000">
        <w:rPr>
          <w:b w:val="1"/>
          <w:rtl w:val="0"/>
        </w:rPr>
        <w:t xml:space="preserve">      § 2.°</w:t>
      </w:r>
      <w:r w:rsidDel="00000000" w:rsidR="00000000" w:rsidRPr="00000000">
        <w:rPr>
          <w:rtl w:val="0"/>
        </w:rPr>
        <w:t xml:space="preserve"> Os beneficiários que trabalharem em regime de plantão ou revezamento, terão direito ao benefício do Art. 1.º, uma única vez a cada jornada de trabalho, independentemente se o exercício de sua atividade ocorrer em turnos de dias distintos. </w:t>
      </w:r>
    </w:p>
    <w:p w:rsidR="00000000" w:rsidDel="00000000" w:rsidP="00000000" w:rsidRDefault="00000000" w:rsidRPr="00000000" w14:paraId="00000020">
      <w:pPr>
        <w:spacing w:before="57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57" w:lineRule="auto"/>
        <w:ind w:firstLine="708"/>
        <w:jc w:val="both"/>
        <w:rPr/>
      </w:pPr>
      <w:r w:rsidDel="00000000" w:rsidR="00000000" w:rsidRPr="00000000">
        <w:rPr>
          <w:b w:val="1"/>
          <w:rtl w:val="0"/>
        </w:rPr>
        <w:t xml:space="preserve">     Art. 6.°</w:t>
      </w:r>
      <w:r w:rsidDel="00000000" w:rsidR="00000000" w:rsidRPr="00000000">
        <w:rPr>
          <w:rtl w:val="0"/>
        </w:rPr>
        <w:t xml:space="preserve"> O benefício será concedido uma única vez, independente da carga horária exercida, inclusive em razão de acúmulo regular de cargos, empregos ou funções. </w:t>
      </w:r>
    </w:p>
    <w:p w:rsidR="00000000" w:rsidDel="00000000" w:rsidP="00000000" w:rsidRDefault="00000000" w:rsidRPr="00000000" w14:paraId="00000022">
      <w:pPr>
        <w:spacing w:before="57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57" w:lineRule="auto"/>
        <w:ind w:firstLine="708"/>
        <w:jc w:val="both"/>
        <w:rPr/>
      </w:pPr>
      <w:r w:rsidDel="00000000" w:rsidR="00000000" w:rsidRPr="00000000">
        <w:rPr>
          <w:b w:val="1"/>
          <w:rtl w:val="0"/>
        </w:rPr>
        <w:t xml:space="preserve">     Art. 7.°</w:t>
      </w:r>
      <w:r w:rsidDel="00000000" w:rsidR="00000000" w:rsidRPr="00000000">
        <w:rPr>
          <w:rtl w:val="0"/>
        </w:rPr>
        <w:t xml:space="preserve"> Fica proibida a acumulação do auxilio alimentação com outros de espécie semelhante, tais como indenização alimentar ou qualquer outra vantagem pessoal originária de qualquer forma de auxilio ou benefício que contemple alimentação. </w:t>
      </w:r>
    </w:p>
    <w:p w:rsidR="00000000" w:rsidDel="00000000" w:rsidP="00000000" w:rsidRDefault="00000000" w:rsidRPr="00000000" w14:paraId="00000024">
      <w:pPr>
        <w:spacing w:before="57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57" w:lineRule="auto"/>
        <w:ind w:firstLine="708"/>
        <w:jc w:val="both"/>
        <w:rPr/>
      </w:pPr>
      <w:r w:rsidDel="00000000" w:rsidR="00000000" w:rsidRPr="00000000">
        <w:rPr>
          <w:b w:val="1"/>
          <w:rtl w:val="0"/>
        </w:rPr>
        <w:t xml:space="preserve">  Art. 8.°</w:t>
      </w:r>
      <w:r w:rsidDel="00000000" w:rsidR="00000000" w:rsidRPr="00000000">
        <w:rPr>
          <w:rtl w:val="0"/>
        </w:rPr>
        <w:t xml:space="preserve"> As despesas decorrentes desta Lei, correrão por conta de dotações fixadas como Auxílio Alimentação em cada órgão Municipal. </w:t>
      </w:r>
    </w:p>
    <w:p w:rsidR="00000000" w:rsidDel="00000000" w:rsidP="00000000" w:rsidRDefault="00000000" w:rsidRPr="00000000" w14:paraId="00000026">
      <w:pPr>
        <w:spacing w:before="57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Parágrafo único. Para os exercícios financeiros subsequentes, o Poder Executivo consignará, nas respectivas Leis Orçamentárias, dotação suficiente para o atendimento das despesas decorrentes da presente Lei. </w:t>
      </w:r>
    </w:p>
    <w:p w:rsidR="00000000" w:rsidDel="00000000" w:rsidP="00000000" w:rsidRDefault="00000000" w:rsidRPr="00000000" w14:paraId="00000027">
      <w:pPr>
        <w:spacing w:before="57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57" w:lineRule="auto"/>
        <w:ind w:firstLine="708"/>
        <w:jc w:val="both"/>
        <w:rPr/>
      </w:pPr>
      <w:r w:rsidDel="00000000" w:rsidR="00000000" w:rsidRPr="00000000">
        <w:rPr>
          <w:b w:val="1"/>
          <w:rtl w:val="0"/>
        </w:rPr>
        <w:t xml:space="preserve"> Art. 9.</w:t>
      </w:r>
      <w:r w:rsidDel="00000000" w:rsidR="00000000" w:rsidRPr="00000000">
        <w:rPr>
          <w:rtl w:val="0"/>
        </w:rPr>
        <w:t xml:space="preserve"> Ficam expressamente revogadas as Leis Municipais n.º 1.746/2019 e a Lei Municipal nº 2.044/2024.    </w:t>
      </w:r>
    </w:p>
    <w:p w:rsidR="00000000" w:rsidDel="00000000" w:rsidP="00000000" w:rsidRDefault="00000000" w:rsidRPr="00000000" w14:paraId="00000029">
      <w:pPr>
        <w:spacing w:before="57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57" w:lineRule="auto"/>
        <w:ind w:firstLine="708"/>
        <w:jc w:val="both"/>
        <w:rPr/>
      </w:pPr>
      <w:bookmarkStart w:colFirst="0" w:colLast="0" w:name="_heading=h.dlttn0v4wg6q" w:id="1"/>
      <w:bookmarkEnd w:id="1"/>
      <w:r w:rsidDel="00000000" w:rsidR="00000000" w:rsidRPr="00000000">
        <w:rPr>
          <w:b w:val="1"/>
          <w:rtl w:val="0"/>
        </w:rPr>
        <w:t xml:space="preserve">Art. 10</w:t>
      </w:r>
      <w:r w:rsidDel="00000000" w:rsidR="00000000" w:rsidRPr="00000000">
        <w:rPr>
          <w:rtl w:val="0"/>
        </w:rPr>
        <w:t xml:space="preserve"> Esta Lei entra em vigor na data de sua publicação, com efeitos a partir de 01 de junho de 2025. </w:t>
      </w:r>
    </w:p>
    <w:p w:rsidR="00000000" w:rsidDel="00000000" w:rsidP="00000000" w:rsidRDefault="00000000" w:rsidRPr="00000000" w14:paraId="0000002B">
      <w:pPr>
        <w:spacing w:before="57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57" w:lineRule="auto"/>
        <w:ind w:firstLine="70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57" w:lineRule="auto"/>
        <w:ind w:firstLine="708"/>
        <w:jc w:val="right"/>
        <w:rPr/>
      </w:pPr>
      <w:r w:rsidDel="00000000" w:rsidR="00000000" w:rsidRPr="00000000">
        <w:rPr>
          <w:b w:val="1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em 13 de outubro de 2025.</w:t>
      </w:r>
    </w:p>
    <w:p w:rsidR="00000000" w:rsidDel="00000000" w:rsidP="00000000" w:rsidRDefault="00000000" w:rsidRPr="00000000" w14:paraId="0000002E">
      <w:pPr>
        <w:ind w:left="-142" w:firstLine="14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ind w:left="-142" w:firstLine="142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31">
      <w:pPr>
        <w:spacing w:line="48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480" w:lineRule="auto"/>
        <w:ind w:left="-142" w:right="-660" w:hanging="142"/>
        <w:rPr/>
      </w:pPr>
      <w:r w:rsidDel="00000000" w:rsidR="00000000" w:rsidRPr="00000000">
        <w:rPr>
          <w:rtl w:val="0"/>
        </w:rPr>
        <w:t xml:space="preserve">     ANDERSON BARCELOS CORRÊA – PSDB – PRESIDENTE:__________________________</w:t>
      </w:r>
    </w:p>
    <w:p w:rsidR="00000000" w:rsidDel="00000000" w:rsidP="00000000" w:rsidRDefault="00000000" w:rsidRPr="00000000" w14:paraId="00000033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ind w:right="-1085"/>
        <w:rPr/>
      </w:pPr>
      <w:r w:rsidDel="00000000" w:rsidR="00000000" w:rsidRPr="00000000">
        <w:rPr>
          <w:rtl w:val="0"/>
        </w:rPr>
        <w:t xml:space="preserve">ADRIANA MACHADO TEIXEIRA –PSDB - VICE-PRESIDENTE:______________________</w:t>
      </w:r>
    </w:p>
    <w:p w:rsidR="00000000" w:rsidDel="00000000" w:rsidP="00000000" w:rsidRDefault="00000000" w:rsidRPr="00000000" w14:paraId="00000035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ind w:right="-660"/>
        <w:rPr/>
      </w:pPr>
      <w:r w:rsidDel="00000000" w:rsidR="00000000" w:rsidRPr="00000000">
        <w:rPr>
          <w:rtl w:val="0"/>
        </w:rPr>
        <w:t xml:space="preserve">LIZIANE JARDIM – MDB:_______________________________________________________</w:t>
      </w:r>
    </w:p>
    <w:sectPr>
      <w:footerReference r:id="rId7" w:type="default"/>
      <w:pgSz w:h="15840" w:w="12240" w:orient="portrait"/>
      <w:pgMar w:bottom="0" w:top="1418" w:left="1418" w:right="1183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44"/>
      <w:szCs w:val="4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extodebalo">
    <w:name w:val="Balloon Text"/>
    <w:basedOn w:val="Normal"/>
    <w:semiHidden w:val="1"/>
    <w:rsid w:val="009557E3"/>
    <w:rPr>
      <w:rFonts w:ascii="Tahoma" w:cs="Tahoma" w:hAnsi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 w:val="1"/>
    </w:pPr>
    <w:rPr>
      <w:rFonts w:cs="Tahoma" w:eastAsia="Lucida Sans Unicode"/>
      <w:kern w:val="1"/>
    </w:rPr>
  </w:style>
  <w:style w:type="paragraph" w:styleId="Ttulodetabela" w:customStyle="1">
    <w:name w:val="Título de tabela"/>
    <w:basedOn w:val="Normal"/>
    <w:rsid w:val="00487F36"/>
    <w:pPr>
      <w:widowControl w:val="0"/>
      <w:suppressLineNumbers w:val="1"/>
      <w:suppressAutoHyphens w:val="1"/>
      <w:jc w:val="center"/>
    </w:pPr>
    <w:rPr>
      <w:rFonts w:eastAsia="Lucida Sans Unicode"/>
      <w:b w:val="1"/>
      <w:bCs w:val="1"/>
      <w:kern w:val="1"/>
    </w:rPr>
  </w:style>
  <w:style w:type="paragraph" w:styleId="Contedodatabela" w:customStyle="1">
    <w:name w:val="Conteúdo da tabela"/>
    <w:basedOn w:val="Normal"/>
    <w:rsid w:val="00487F36"/>
    <w:pPr>
      <w:widowControl w:val="0"/>
      <w:suppressLineNumbers w:val="1"/>
      <w:suppressAutoHyphens w:val="1"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E39A9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paragraph" w:styleId="Subtitle">
    <w:name w:val="Subtitle"/>
    <w:basedOn w:val="Normal"/>
    <w:next w:val="Normal"/>
    <w:pPr>
      <w:jc w:val="center"/>
    </w:pPr>
    <w:rPr>
      <w:b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ivtoXM6yfzXM0e3rUrzPwxbbJA==">CgMxLjAyDmguemRoNDc2NHRwOHpkMg5oLmRsdHRuMHY0d2c2cTgAciExczFQSjVpeDJNMk5nQzNneTZCM1VHRWx0d3JoVnl6V1U=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2025-10-10T13:13:00Z</dcterms:created>
  <dc:creator>Gabinete do Prefeito</dc:creator>
</cp:coreProperties>
</file>