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583/2025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09/09/2025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ORDINÁRIA N.° 016 DE FEVEREIRO DE 2001”.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 alterar  o artigo 11 da Lei Municipal n° 016/2001, alterada pela Lei Municipal n°1.369/2014, passando a vigorar com seguinte redação: "Art. 11. O valor da diária do Prefeito será de R$ 650,00 e do Vice Prefeito, Secretários e, Procurador de R$ 500,00 por dia de afastamento, com objetivo de serviço ou estudo de interesse da administração, para viagem no Estado do Rio Grande do Sul, sendo acrescida em 50% no caso do deslocamento ser para fora do Estado ou para fora do País”.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p1juw18vg8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22/09/2025.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2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8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0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1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QwJCgB3ohrVw7Rds4xhWf+rUQ==">CgMxLjAyDmgudTByOXBkb2tmeDcxMg5oLjFteTdzNG96MTIzcDIOaC5wMWp1dzE4dmc4cGUyDmguM2c0aGczb2xwZW1xOAByITF3SU02RGV1UjE3bFJlQnF0T0h5bERGelRSaS1HLWhUVQ==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