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sz w:val="26"/>
          <w:szCs w:val="26"/>
          <w:u w:val="single"/>
        </w:rPr>
      </w:pPr>
      <w:bookmarkStart w:colFirst="0" w:colLast="0" w:name="_heading=h.gvdrjyi0otf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1chyk3ykx32" w:id="1"/>
      <w:bookmarkEnd w:id="1"/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435/2025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N.° 603/2025)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042/2025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25/06/2025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bookmarkStart w:colFirst="0" w:colLast="0" w:name="_heading=h.pnckqomecy2n" w:id="2"/>
      <w:bookmarkEnd w:id="2"/>
      <w:r w:rsidDel="00000000" w:rsidR="00000000" w:rsidRPr="00000000">
        <w:rPr>
          <w:b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“DISPÕE SOBRE A POLÍTICA DE ATENDIMENTO DOS DIREITOS DA CRIANÇA E DO ADOLESCENTE EM ACEGUÁ E DÁ OUTRAS PROVIDÊNCIAS”.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hlmssrhlvpkb" w:id="3"/>
      <w:bookmarkEnd w:id="3"/>
      <w:r w:rsidDel="00000000" w:rsidR="00000000" w:rsidRPr="00000000">
        <w:rPr>
          <w:rtl w:val="0"/>
        </w:rPr>
        <w:t xml:space="preserve">Veio o presente PL para apreciação da Comissão de Finanças e Orçamento, com a finalidade de estabelecer a política municipal de atendimento aos direitos da criança e do adolescente, delineando normas para sua aplicação. O Projeto de Lei visa assegurar o desenvolvimento integral de crianças e adolescentes por meio de políticas públicas nas áreas de educação, saúde, assistência social, esporte, cultura e lazer. O Projeto de Lei em análise também formaliza a criação do Conselho Municipal dos Direitos da Criança e do Adolescente, que terá um papel fundamental na formulação e fiscalização das políticas públicas. Além disso, estabelece o Fundo Municipal dos Direitos da Criança e do Adolescente, destinado à captação e gestão de recursos, e regula o funcionamento do Conselho Tutelar, destacando sua importância na defesa dos direitos das crianças e adolescentes.</w:t>
      </w:r>
    </w:p>
    <w:p w:rsidR="00000000" w:rsidDel="00000000" w:rsidP="00000000" w:rsidRDefault="00000000" w:rsidRPr="00000000" w14:paraId="0000000E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color w:val="ff99cc"/>
          <w:rtl w:val="0"/>
        </w:rPr>
        <w:tab/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22/09/2025.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9hjz1x6lkc2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</w:rPr>
    </w:pPr>
    <w:r w:rsidDel="00000000" w:rsidR="00000000" w:rsidRPr="00000000">
      <w:rPr>
        <w:b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RhfH+C3jWwnrSdtkVbu2chzsBQ==">CgMxLjAyDmguZ3Zkcmp5aTBvdGZvMg5oLnUxY2h5azN5a3gzMjIOaC5wbmNrcW9tZWN5Mm4yDmguaGxtc3NyaGx2cGtiMg5oLmM5aGp6MXg2bGtjMjgAciExSWZNbHpLMFN5bUNQSkNiWG4tWU1DYmczNUFTZUNDLXo=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2025-08-01T16:06:00Z</dcterms:created>
  <dc:creator>Diretora</dc:creator>
</cp:coreProperties>
</file>