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sz w:val="26"/>
          <w:szCs w:val="26"/>
          <w:u w:val="single"/>
        </w:rPr>
      </w:pPr>
      <w:bookmarkStart w:colFirst="0" w:colLast="0" w:name="_heading=h.1yibakqneu7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xviyfi3m8uj5" w:id="1"/>
      <w:bookmarkEnd w:id="1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435/2025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042/2025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25/06/2025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bookmarkStart w:colFirst="0" w:colLast="0" w:name="_heading=h.ydmvb4t6ptst" w:id="2"/>
      <w:bookmarkEnd w:id="2"/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“DISPÕE SOBRE A POLÍTICA DE ATENDIMENTO DOS DIREITOS DA CRIANÇA E DO ADOLESCENTE EM ACEGUÁ E DÁ OUTRAS PROVIDÊNCIAS”.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riu3daxw3kg9" w:id="3"/>
      <w:bookmarkEnd w:id="3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estabelecer a política municipal de atendimento aos direitos da criança e do adolescente, delineando normas para sua aplicação. O Projeto de Lei visa assegurar o desenvolvimento integral de crianças e adolescentes por meio de políticas públicas nas áreas de educação, saúde, assistência social, esporte, cultura e lazer. O Projeto de Lei em análise também formaliza a criação do Conselho Municipal dos Direitos da Criança e do Adolescente, que terá um papel fundamental na formulação e fiscalização das políticas públicas. Além disso, estabelece o Fundo Municipal dos Direitos da Criança e do Adolescente, destinado à captação e gestão de recursos, e regula o funcionamento do Conselho Tutelar, destacando sua importância na defesa dos direitos das crianças e adolescentes.</w:t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matéria,  tendo em vista a urgência de adequar nossa legislação às novas realidades sociais e às necessidades emergentes de nossa juventude.</w:t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15/09/2025.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/>
      </w:pPr>
      <w:bookmarkStart w:colFirst="0" w:colLast="0" w:name="_heading=h.ytv8n34yz0q8" w:id="4"/>
      <w:bookmarkEnd w:id="4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7+REkzV64IfdlMfXoT488HTVgQ==">CgMxLjAyDmguMXlpYmFrcW5ldTdqMg5oLnh2aXlmaTNtOHVqNTIOaC55ZG12YjR0NnB0c3QyDmgucml1M2RheHcza2c5Mg5oLnl0djhuMzR5ejBxODgAciExaHQwa0JRRWc0UUFGMWJIUTJCTWZXdEZ3c2stRkFKVmw=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2025-08-01T13:58:00Z</dcterms:created>
  <dc:creator>Diretora</dc:creator>
</cp:coreProperties>
</file>