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sz w:val="26"/>
          <w:szCs w:val="26"/>
          <w:u w:val="single"/>
        </w:rPr>
      </w:pPr>
      <w:bookmarkStart w:colFirst="0" w:colLast="0" w:name="_heading=h.jwt4d1e23uz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blnup2aewh17" w:id="1"/>
      <w:bookmarkEnd w:id="1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509/2025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047/2025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 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20/08/2025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MESA DIRETORA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rtl w:val="0"/>
        </w:rPr>
        <w:t xml:space="preserve">ALTERA O ART. 2.º DA LEI MUNICIPAL N.º 2.087/2024 - EXTINGUE A VERBA DE REPRESENTAÇÃO</w:t>
      </w:r>
      <w:r w:rsidDel="00000000" w:rsidR="00000000" w:rsidRPr="00000000">
        <w:rPr>
          <w:rtl w:val="0"/>
        </w:rPr>
        <w:t xml:space="preserve">".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D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E">
      <w:pPr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o presente Projeto de Lei para apreciação da Comissão de Finanças e Orçamento, com a finalidade de alterar a Lei Municipal n.° 2.087/2024,  que fixou o subsídio dos Vereadores para a Legislatura de 2025/2025 para atender o Parecer Coletivo nº 07/2024 do Tribunal de Contas do Estado do Rio Grande do Sul, que em suas conclusões, estabelece a impossibilidade de fixação de Verba de Representação ao Chefe do Poder Legislativo sugerindo que o mesmo perceba remuneração diferenciada e superior aos demais parlamentares. Assim, a Mesa Diretora entende que ao fixar a remuneração do Presidente em R$ 6.950,00 (seis mil novecentos e cinquenta reais) atende o limite legal estabelecido na alínea "a" do inciso VI do art. 29 da Constituição Federal, bem como, os demais limites estabelecidos na Lei de Responsabilidade Fiscal. </w:t>
      </w:r>
    </w:p>
    <w:p w:rsidR="00000000" w:rsidDel="00000000" w:rsidP="00000000" w:rsidRDefault="00000000" w:rsidRPr="00000000" w14:paraId="0000000F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Relator manifesta-se pela tramitação regimental e aprovação da matéria, tendo em vista que não é possível a fixação de Verba de Representação ao Presidente do Poder Legislativo, em razão da limitação prevista no § 4º do artigo 39 da Constituição Federal.</w:t>
      </w:r>
    </w:p>
    <w:p w:rsidR="00000000" w:rsidDel="00000000" w:rsidP="00000000" w:rsidRDefault="00000000" w:rsidRPr="00000000" w14:paraId="00000012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08/09/2025.</w:t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2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/TEUmZenwPHHtMKyF8mWXVrxNQ==">CgMxLjAyDmguand0NGQxZTIzdXpxMg5oLmJsbnVwMmFld2gxNzIOaC41aXphd3A0Y2ZjOWcyDmguY21wYWUxdXZ2bHZiOAByITFCOUVUYVotZzJ2azNLU2E2MmVNWGl6em1MbjMycHh1NQ==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