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blnup2aewh17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466/2025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18/07/2025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rtl w:val="0"/>
        </w:rPr>
        <w:t xml:space="preserve"> </w:t>
      </w:r>
      <w:r w:rsidDel="00000000" w:rsidR="00000000" w:rsidRPr="00000000">
        <w:rPr>
          <w:rtl w:val="0"/>
        </w:rPr>
        <w:t xml:space="preserve">AUTORIZA ABERTURA DE CRÉDITO ADICIONAL DE NATUREZA ESPECIAL NO VALOR DE R$ 130.000,00 ".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presente PL para apreciação da Comissão de Finanças e Orçamento, com a finalidade de autorizar o Poder Executivo Municipal a proceder abertura de crédito adicional especial para o presente exercício financeiro no valor de R$ 130.000,00 (cento e trinta mil reais), nos termos da Lei Federal nº 4.320/64. O Projeto de Lei objetiva obter a outorga legislativa, para que o Município possa dotar no orçamento Municipal, através da Secretaria Municipal de Obras e Serviços Públicos, um crédito especial, para cobertura de despesa via convênio com o Consórcio Público Intermunicipal de Desenvolvimento Econômico, Social e Ambiental dos Municípios da Bacia do Rio Jaguarão (CIDEJA), para realização de serviço de aterro e terraplanagem da construção de subestação de energia elétrica na localidade Trigolândia, município de Hulha Negra. A cobertura do presente crédito especial, decorrerá por conta de superávit financeiro do Recurso 27001113 - Cessão Onerosa, apurado no exercício financeiro de 2024.</w:t>
      </w:r>
    </w:p>
    <w:p w:rsidR="00000000" w:rsidDel="00000000" w:rsidP="00000000" w:rsidRDefault="00000000" w:rsidRPr="00000000" w14:paraId="0000000E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11/08/2025.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rDtqNEaHHk1StHbOaZ0NU5QEw==">CgMxLjAyDmguYmxudXAyYWV3aDE3Mg5oLjVpemF3cDRjZmM5ZzIOaC5jbXBhZTF1dnZsdmI4AHIhMXVDeGtpN3NlcFZYRU03UjZMa0xhb1JXTWI1LVBybXAw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