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6C4061">
        <w:rPr>
          <w:kern w:val="28"/>
          <w:lang w:eastAsia="zh-CN"/>
        </w:rPr>
        <w:t>1</w:t>
      </w:r>
      <w:r w:rsidR="003B1375">
        <w:rPr>
          <w:kern w:val="28"/>
          <w:lang w:eastAsia="zh-CN"/>
        </w:rPr>
        <w:t>79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</w:t>
      </w:r>
      <w:r w:rsidR="003B1375">
        <w:rPr>
          <w:kern w:val="28"/>
          <w:lang w:eastAsia="zh-CN"/>
        </w:rPr>
        <w:t>3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8254BD">
        <w:rPr>
          <w:bCs/>
          <w:kern w:val="28"/>
          <w:lang w:eastAsia="zh-CN"/>
        </w:rPr>
        <w:t>VEREADOR RENATO SOUZA DA SILVA</w:t>
      </w:r>
      <w:bookmarkStart w:id="0" w:name="_GoBack"/>
      <w:bookmarkEnd w:id="0"/>
      <w:r w:rsidR="00A2364E">
        <w:rPr>
          <w:bCs/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8B65C1">
        <w:rPr>
          <w:kern w:val="28"/>
          <w:lang w:eastAsia="zh-CN"/>
        </w:rPr>
        <w:t>2</w:t>
      </w:r>
      <w:r w:rsidR="003B1375">
        <w:rPr>
          <w:kern w:val="28"/>
          <w:lang w:eastAsia="zh-CN"/>
        </w:rPr>
        <w:t>7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CF4F4D">
        <w:t>DISPÕE SOBRE O PROCESSO DE ESCOLHA EM DATA UNIFICADA EM TODO O TERRITÓRIO NACIONAL DOS MEMBROS DO CONSELHO TUTELAR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95392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desta Comissão, </w:t>
      </w:r>
      <w:r w:rsidR="00AB4501">
        <w:rPr>
          <w:kern w:val="28"/>
          <w:lang w:eastAsia="zh-CN"/>
        </w:rPr>
        <w:t xml:space="preserve">visando </w:t>
      </w:r>
      <w:r w:rsidR="00492770">
        <w:rPr>
          <w:kern w:val="28"/>
          <w:lang w:eastAsia="zh-CN"/>
        </w:rPr>
        <w:t>que no Município ha</w:t>
      </w:r>
      <w:r w:rsidR="00AB4501">
        <w:rPr>
          <w:kern w:val="28"/>
          <w:lang w:eastAsia="zh-CN"/>
        </w:rPr>
        <w:t>ja</w:t>
      </w:r>
      <w:r w:rsidR="00492770">
        <w:rPr>
          <w:kern w:val="28"/>
          <w:lang w:eastAsia="zh-CN"/>
        </w:rPr>
        <w:t>, no mínimo, um Conselho Tutelar como órgão integrante da administração pública, em cumprimento ao disposto no art. 132 do Estatuto da Criança e do Adolescente.</w:t>
      </w:r>
    </w:p>
    <w:p w:rsidR="00492770" w:rsidRPr="007F2788" w:rsidRDefault="00492770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268B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tendo em vista que o projeto em epígrafe </w:t>
      </w:r>
      <w:proofErr w:type="gramStart"/>
      <w:r w:rsidR="0065348D">
        <w:rPr>
          <w:kern w:val="28"/>
          <w:lang w:eastAsia="zh-CN"/>
        </w:rPr>
        <w:t>justifica-se</w:t>
      </w:r>
      <w:proofErr w:type="gramEnd"/>
      <w:r w:rsidR="0065348D">
        <w:rPr>
          <w:kern w:val="28"/>
          <w:lang w:eastAsia="zh-CN"/>
        </w:rPr>
        <w:t xml:space="preserve"> a criação da referida Lei em consequência da necessidade de atualização da legislação Municipal para dispor quanto ao processo de escolha em data unificada em todo o território nacional dos membros do Conselho Tutelar, em atendimentos as disposições da resolução nº 231 – CONANDA.</w:t>
      </w:r>
    </w:p>
    <w:p w:rsidR="00D7268B" w:rsidRDefault="00D7268B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654F68">
        <w:rPr>
          <w:kern w:val="28"/>
          <w:lang w:eastAsia="zh-CN"/>
        </w:rPr>
        <w:t>17</w:t>
      </w:r>
      <w:r w:rsidR="00D7268B">
        <w:rPr>
          <w:kern w:val="28"/>
          <w:lang w:eastAsia="zh-CN"/>
        </w:rPr>
        <w:t xml:space="preserve"> de abril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</w:p>
    <w:p w:rsidR="0031104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31104F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495392" w:rsidRDefault="00495392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495392" w:rsidRDefault="00495392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24DA5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67C3"/>
    <w:rsid w:val="005F6EEE"/>
    <w:rsid w:val="00604CED"/>
    <w:rsid w:val="0065348D"/>
    <w:rsid w:val="00654F68"/>
    <w:rsid w:val="006563E7"/>
    <w:rsid w:val="00663469"/>
    <w:rsid w:val="00675A14"/>
    <w:rsid w:val="006910B0"/>
    <w:rsid w:val="006C0052"/>
    <w:rsid w:val="006C4061"/>
    <w:rsid w:val="007006CD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254BD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E6C73"/>
    <w:rsid w:val="00906B69"/>
    <w:rsid w:val="00910DFE"/>
    <w:rsid w:val="0093587B"/>
    <w:rsid w:val="00955E55"/>
    <w:rsid w:val="00967F4C"/>
    <w:rsid w:val="0097122E"/>
    <w:rsid w:val="00987426"/>
    <w:rsid w:val="009917F8"/>
    <w:rsid w:val="009A797C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B4501"/>
    <w:rsid w:val="00AE3A1E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54A9"/>
    <w:rsid w:val="00C57882"/>
    <w:rsid w:val="00C614E8"/>
    <w:rsid w:val="00C90281"/>
    <w:rsid w:val="00CE3638"/>
    <w:rsid w:val="00CE69CF"/>
    <w:rsid w:val="00CF18AF"/>
    <w:rsid w:val="00CF4F4D"/>
    <w:rsid w:val="00CF5297"/>
    <w:rsid w:val="00D47872"/>
    <w:rsid w:val="00D519F4"/>
    <w:rsid w:val="00D64E33"/>
    <w:rsid w:val="00D7268B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A18C6-9BE4-4C13-B6E8-AA9CFD69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12</cp:revision>
  <cp:lastPrinted>2023-04-17T13:29:00Z</cp:lastPrinted>
  <dcterms:created xsi:type="dcterms:W3CDTF">2023-04-04T12:58:00Z</dcterms:created>
  <dcterms:modified xsi:type="dcterms:W3CDTF">2023-04-17T13:41:00Z</dcterms:modified>
</cp:coreProperties>
</file>