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C1" w:rsidRDefault="002C61C1" w:rsidP="00402CFF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BA2C5A" w:rsidRDefault="007F2788" w:rsidP="00402CFF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710F02" w:rsidRDefault="00710F02" w:rsidP="00E66D49">
      <w:pPr>
        <w:tabs>
          <w:tab w:val="left" w:pos="3450"/>
          <w:tab w:val="center" w:pos="4890"/>
        </w:tabs>
        <w:rPr>
          <w:b/>
        </w:rPr>
      </w:pPr>
    </w:p>
    <w:p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:rsidR="002D245B" w:rsidRPr="00941020" w:rsidRDefault="002D245B" w:rsidP="002D245B">
      <w:pPr>
        <w:jc w:val="center"/>
        <w:rPr>
          <w:b/>
        </w:rPr>
      </w:pPr>
      <w:r w:rsidRPr="00941020">
        <w:rPr>
          <w:b/>
        </w:rPr>
        <w:t>PROJETO DE LEI</w:t>
      </w:r>
      <w:r w:rsidR="008B090A">
        <w:rPr>
          <w:b/>
        </w:rPr>
        <w:t xml:space="preserve"> COMPLEMANTAR</w:t>
      </w:r>
      <w:r w:rsidRPr="00941020">
        <w:rPr>
          <w:b/>
        </w:rPr>
        <w:t xml:space="preserve"> N° </w:t>
      </w:r>
      <w:r w:rsidR="00500FDE" w:rsidRPr="00941020">
        <w:rPr>
          <w:b/>
        </w:rPr>
        <w:t>0</w:t>
      </w:r>
      <w:r w:rsidR="0090250D">
        <w:rPr>
          <w:b/>
        </w:rPr>
        <w:t>3</w:t>
      </w:r>
      <w:r w:rsidR="006407ED">
        <w:rPr>
          <w:b/>
        </w:rPr>
        <w:t>/202</w:t>
      </w:r>
      <w:r w:rsidR="008B090A">
        <w:rPr>
          <w:b/>
        </w:rPr>
        <w:t>3</w:t>
      </w:r>
    </w:p>
    <w:p w:rsidR="002D245B" w:rsidRPr="00941020" w:rsidRDefault="002D245B" w:rsidP="002D245B">
      <w:pPr>
        <w:jc w:val="both"/>
      </w:pPr>
    </w:p>
    <w:p w:rsidR="002D245B" w:rsidRDefault="002D245B" w:rsidP="00086A8E">
      <w:pPr>
        <w:pStyle w:val="PargrafodaLista"/>
        <w:numPr>
          <w:ilvl w:val="0"/>
          <w:numId w:val="3"/>
        </w:numPr>
        <w:ind w:firstLine="1269"/>
        <w:jc w:val="both"/>
      </w:pPr>
      <w:r w:rsidRPr="009C6F48">
        <w:t xml:space="preserve">A Câmara Municipal de Vereadores de </w:t>
      </w:r>
      <w:proofErr w:type="spellStart"/>
      <w:r w:rsidRPr="009C6F48">
        <w:t>Aceguá</w:t>
      </w:r>
      <w:proofErr w:type="spellEnd"/>
      <w:r w:rsidRPr="009C6F48">
        <w:t xml:space="preserve">, Estado do Rio Grande do Sul, reunida em Sessão </w:t>
      </w:r>
      <w:r w:rsidR="00086A8E">
        <w:t>O</w:t>
      </w:r>
      <w:r>
        <w:t>rdinária</w:t>
      </w:r>
      <w:r w:rsidRPr="009C6F48">
        <w:t xml:space="preserve">, realizada em </w:t>
      </w:r>
      <w:r w:rsidR="008B090A">
        <w:t>06 de novembro</w:t>
      </w:r>
      <w:r>
        <w:t xml:space="preserve"> de</w:t>
      </w:r>
      <w:r w:rsidRPr="009C6F48">
        <w:t xml:space="preserve"> 20</w:t>
      </w:r>
      <w:r w:rsidR="006407ED">
        <w:t>2</w:t>
      </w:r>
      <w:r w:rsidR="008B090A">
        <w:t>3</w:t>
      </w:r>
      <w:r w:rsidR="0053462C">
        <w:t xml:space="preserve"> </w:t>
      </w:r>
      <w:r w:rsidR="00500FDE">
        <w:t>aprovou</w:t>
      </w:r>
      <w:r w:rsidRPr="009C6F48">
        <w:t>, de autoria do Poder Executivo, o seguinte:</w:t>
      </w:r>
    </w:p>
    <w:p w:rsidR="00E274FD" w:rsidRDefault="00E274FD" w:rsidP="00B4552F">
      <w:pPr>
        <w:pStyle w:val="Ttulodetabela"/>
        <w:jc w:val="left"/>
      </w:pPr>
    </w:p>
    <w:p w:rsidR="00402CFF" w:rsidRPr="00402CFF" w:rsidRDefault="00402CFF" w:rsidP="00402CFF">
      <w:pPr>
        <w:widowControl w:val="0"/>
        <w:suppressAutoHyphens/>
        <w:jc w:val="center"/>
        <w:rPr>
          <w:rFonts w:eastAsia="Lucida Sans Unicode"/>
          <w:kern w:val="2"/>
          <w:lang w:eastAsia="zh-CN"/>
        </w:rPr>
      </w:pPr>
      <w:r w:rsidRPr="00402CFF">
        <w:rPr>
          <w:rFonts w:eastAsia="Lucida Sans Unicode"/>
          <w:b/>
          <w:bCs/>
          <w:kern w:val="2"/>
        </w:rPr>
        <w:t>PROJETO DE LEI</w:t>
      </w:r>
      <w:r w:rsidR="008B090A">
        <w:rPr>
          <w:rFonts w:eastAsia="Lucida Sans Unicode"/>
          <w:b/>
          <w:bCs/>
          <w:kern w:val="2"/>
        </w:rPr>
        <w:t xml:space="preserve"> COMPLEMENTAR</w:t>
      </w:r>
      <w:r w:rsidRPr="00402CFF">
        <w:rPr>
          <w:rFonts w:eastAsia="Lucida Sans Unicode"/>
          <w:b/>
          <w:bCs/>
          <w:kern w:val="2"/>
        </w:rPr>
        <w:t xml:space="preserve"> Nº 0</w:t>
      </w:r>
      <w:r w:rsidR="0090250D">
        <w:rPr>
          <w:rFonts w:eastAsia="Lucida Sans Unicode"/>
          <w:b/>
          <w:bCs/>
          <w:kern w:val="2"/>
        </w:rPr>
        <w:t>3</w:t>
      </w:r>
      <w:r>
        <w:rPr>
          <w:rFonts w:eastAsia="Lucida Sans Unicode"/>
          <w:b/>
          <w:bCs/>
          <w:kern w:val="2"/>
        </w:rPr>
        <w:t>/202</w:t>
      </w:r>
      <w:r w:rsidR="008B090A">
        <w:rPr>
          <w:rFonts w:eastAsia="Lucida Sans Unicode"/>
          <w:b/>
          <w:bCs/>
          <w:kern w:val="2"/>
        </w:rPr>
        <w:t>3</w:t>
      </w:r>
    </w:p>
    <w:p w:rsidR="00402CFF" w:rsidRPr="00402CFF" w:rsidRDefault="00402CFF" w:rsidP="00402CFF">
      <w:pPr>
        <w:keepNext/>
        <w:widowControl w:val="0"/>
        <w:suppressAutoHyphens/>
        <w:ind w:left="4963"/>
        <w:jc w:val="both"/>
        <w:rPr>
          <w:b/>
          <w:bCs/>
        </w:rPr>
      </w:pPr>
    </w:p>
    <w:p w:rsidR="0090250D" w:rsidRPr="0090250D" w:rsidRDefault="0090250D" w:rsidP="0090250D">
      <w:pPr>
        <w:widowControl w:val="0"/>
        <w:suppressAutoHyphens/>
        <w:spacing w:before="100" w:after="100"/>
        <w:ind w:left="3969"/>
        <w:rPr>
          <w:kern w:val="2"/>
        </w:rPr>
      </w:pPr>
      <w:r w:rsidRPr="0090250D">
        <w:rPr>
          <w:b/>
          <w:bCs/>
          <w:kern w:val="2"/>
        </w:rPr>
        <w:t xml:space="preserve">Institui o Incentivo Fiscal de Redução do ITBI no Município de </w:t>
      </w:r>
      <w:proofErr w:type="spellStart"/>
      <w:r w:rsidRPr="0090250D">
        <w:rPr>
          <w:b/>
          <w:bCs/>
          <w:kern w:val="2"/>
        </w:rPr>
        <w:t>Aceguá</w:t>
      </w:r>
      <w:proofErr w:type="spellEnd"/>
      <w:r w:rsidRPr="0090250D">
        <w:rPr>
          <w:b/>
          <w:bCs/>
          <w:kern w:val="2"/>
        </w:rPr>
        <w:t xml:space="preserve">.  </w:t>
      </w:r>
    </w:p>
    <w:p w:rsidR="0090250D" w:rsidRPr="0090250D" w:rsidRDefault="0090250D" w:rsidP="0090250D">
      <w:pPr>
        <w:widowControl w:val="0"/>
        <w:suppressAutoHyphens/>
        <w:jc w:val="both"/>
        <w:rPr>
          <w:b/>
          <w:bCs/>
          <w:kern w:val="2"/>
        </w:rPr>
      </w:pPr>
    </w:p>
    <w:p w:rsidR="0090250D" w:rsidRPr="0090250D" w:rsidRDefault="0090250D" w:rsidP="0090250D">
      <w:pPr>
        <w:widowControl w:val="0"/>
        <w:suppressAutoHyphens/>
        <w:jc w:val="both"/>
        <w:rPr>
          <w:kern w:val="2"/>
        </w:rPr>
      </w:pPr>
      <w:r w:rsidRPr="0090250D">
        <w:rPr>
          <w:b/>
          <w:bCs/>
          <w:kern w:val="2"/>
        </w:rPr>
        <w:tab/>
        <w:t>Art. 1º</w:t>
      </w:r>
      <w:r w:rsidRPr="0090250D">
        <w:rPr>
          <w:kern w:val="2"/>
        </w:rPr>
        <w:t xml:space="preserve"> Altera a alíquota do ITBI pelo período de 45 (quarenta e cinco) dias a contar do ato de publicação da presente Lei.</w:t>
      </w:r>
    </w:p>
    <w:p w:rsidR="0090250D" w:rsidRPr="0090250D" w:rsidRDefault="0090250D" w:rsidP="0090250D">
      <w:pPr>
        <w:widowControl w:val="0"/>
        <w:suppressAutoHyphens/>
        <w:jc w:val="both"/>
        <w:rPr>
          <w:kern w:val="2"/>
        </w:rPr>
      </w:pPr>
    </w:p>
    <w:p w:rsidR="0090250D" w:rsidRPr="0090250D" w:rsidRDefault="0090250D" w:rsidP="0090250D">
      <w:pPr>
        <w:widowControl w:val="0"/>
        <w:suppressAutoHyphens/>
        <w:ind w:firstLine="708"/>
        <w:jc w:val="both"/>
        <w:rPr>
          <w:kern w:val="2"/>
        </w:rPr>
      </w:pPr>
      <w:r w:rsidRPr="0090250D">
        <w:rPr>
          <w:b/>
          <w:bCs/>
          <w:kern w:val="2"/>
        </w:rPr>
        <w:t>Art. 2º</w:t>
      </w:r>
      <w:r w:rsidRPr="0090250D">
        <w:rPr>
          <w:kern w:val="2"/>
        </w:rPr>
        <w:t xml:space="preserve"> Serão beneficiados com a presente Lei os imóveis localizados no perímetro urbano e rural do Município, nos seguintes termos: </w:t>
      </w:r>
    </w:p>
    <w:p w:rsidR="0090250D" w:rsidRPr="0090250D" w:rsidRDefault="0090250D" w:rsidP="0090250D">
      <w:pPr>
        <w:widowControl w:val="0"/>
        <w:suppressAutoHyphens/>
        <w:ind w:firstLine="708"/>
        <w:jc w:val="both"/>
        <w:rPr>
          <w:kern w:val="2"/>
        </w:rPr>
      </w:pPr>
      <w:r w:rsidRPr="0090250D">
        <w:rPr>
          <w:kern w:val="2"/>
        </w:rPr>
        <w:t>I – Imóveis rurais até 50ha e imóveis urbanos a alíquota do ITBI será reduzida para 0,5% (zero virgula cinco por cento);</w:t>
      </w:r>
    </w:p>
    <w:p w:rsidR="0090250D" w:rsidRPr="0090250D" w:rsidRDefault="0090250D" w:rsidP="0090250D">
      <w:pPr>
        <w:widowControl w:val="0"/>
        <w:suppressAutoHyphens/>
        <w:ind w:firstLine="708"/>
        <w:jc w:val="both"/>
        <w:rPr>
          <w:kern w:val="2"/>
        </w:rPr>
      </w:pPr>
      <w:r w:rsidRPr="0090250D">
        <w:rPr>
          <w:kern w:val="2"/>
        </w:rPr>
        <w:t xml:space="preserve">II - Imóveis rurais acima de </w:t>
      </w:r>
      <w:proofErr w:type="gramStart"/>
      <w:r w:rsidRPr="0090250D">
        <w:rPr>
          <w:kern w:val="2"/>
        </w:rPr>
        <w:t>50ha</w:t>
      </w:r>
      <w:proofErr w:type="gramEnd"/>
      <w:r w:rsidRPr="0090250D">
        <w:rPr>
          <w:kern w:val="2"/>
        </w:rPr>
        <w:t xml:space="preserve"> até 120 a alíquota do ITBI será reduzida para  1% (um por cento);</w:t>
      </w:r>
    </w:p>
    <w:p w:rsidR="0090250D" w:rsidRDefault="0090250D" w:rsidP="0090250D">
      <w:pPr>
        <w:widowControl w:val="0"/>
        <w:suppressAutoHyphens/>
        <w:ind w:firstLine="708"/>
        <w:jc w:val="both"/>
        <w:rPr>
          <w:kern w:val="2"/>
        </w:rPr>
      </w:pPr>
      <w:r w:rsidRPr="0090250D">
        <w:rPr>
          <w:kern w:val="2"/>
        </w:rPr>
        <w:t xml:space="preserve">III - Imóveis rurais acima de </w:t>
      </w:r>
      <w:proofErr w:type="gramStart"/>
      <w:r w:rsidRPr="0090250D">
        <w:rPr>
          <w:kern w:val="2"/>
        </w:rPr>
        <w:t>120ha</w:t>
      </w:r>
      <w:proofErr w:type="gramEnd"/>
      <w:r w:rsidRPr="0090250D">
        <w:rPr>
          <w:kern w:val="2"/>
        </w:rPr>
        <w:t xml:space="preserve"> até 250ha a alíquota do ITBI será reduzida para 1,5%</w:t>
      </w:r>
      <w:r w:rsidR="008B090A">
        <w:rPr>
          <w:kern w:val="2"/>
        </w:rPr>
        <w:t xml:space="preserve"> (um virgula cinco por cento).</w:t>
      </w:r>
    </w:p>
    <w:p w:rsidR="008B090A" w:rsidRDefault="008B090A" w:rsidP="0090250D">
      <w:pPr>
        <w:widowControl w:val="0"/>
        <w:suppressAutoHyphens/>
        <w:ind w:firstLine="708"/>
        <w:jc w:val="both"/>
        <w:rPr>
          <w:kern w:val="2"/>
        </w:rPr>
      </w:pPr>
    </w:p>
    <w:p w:rsidR="008B090A" w:rsidRPr="0090250D" w:rsidRDefault="008B090A" w:rsidP="0090250D">
      <w:pPr>
        <w:widowControl w:val="0"/>
        <w:suppressAutoHyphens/>
        <w:ind w:firstLine="708"/>
        <w:jc w:val="both"/>
        <w:rPr>
          <w:kern w:val="2"/>
        </w:rPr>
      </w:pPr>
      <w:r>
        <w:rPr>
          <w:kern w:val="2"/>
        </w:rPr>
        <w:t xml:space="preserve">§1º - As extensões de áreas referidas nos incisos I, II e III serão </w:t>
      </w:r>
      <w:proofErr w:type="gramStart"/>
      <w:r>
        <w:rPr>
          <w:kern w:val="2"/>
        </w:rPr>
        <w:t>totalizados</w:t>
      </w:r>
      <w:proofErr w:type="gramEnd"/>
      <w:r>
        <w:rPr>
          <w:kern w:val="2"/>
        </w:rPr>
        <w:t xml:space="preserve"> por CPF ou CNPJ.</w:t>
      </w:r>
    </w:p>
    <w:p w:rsidR="0090250D" w:rsidRPr="0090250D" w:rsidRDefault="0090250D" w:rsidP="0090250D">
      <w:pPr>
        <w:widowControl w:val="0"/>
        <w:suppressAutoHyphens/>
        <w:jc w:val="both"/>
        <w:rPr>
          <w:kern w:val="2"/>
        </w:rPr>
      </w:pPr>
    </w:p>
    <w:p w:rsidR="0090250D" w:rsidRPr="0090250D" w:rsidRDefault="0090250D" w:rsidP="0090250D">
      <w:pPr>
        <w:widowControl w:val="0"/>
        <w:suppressAutoHyphens/>
        <w:ind w:firstLine="708"/>
        <w:jc w:val="both"/>
        <w:rPr>
          <w:kern w:val="2"/>
        </w:rPr>
      </w:pPr>
      <w:r w:rsidRPr="0090250D">
        <w:rPr>
          <w:b/>
          <w:bCs/>
          <w:kern w:val="2"/>
        </w:rPr>
        <w:t>Art. 3</w:t>
      </w:r>
      <w:r w:rsidRPr="0090250D">
        <w:rPr>
          <w:kern w:val="2"/>
        </w:rPr>
        <w:t xml:space="preserve">º O prazo para pagamento das referidas guias de </w:t>
      </w:r>
      <w:proofErr w:type="spellStart"/>
      <w:r w:rsidRPr="0090250D">
        <w:rPr>
          <w:kern w:val="2"/>
        </w:rPr>
        <w:t>ITBIs</w:t>
      </w:r>
      <w:proofErr w:type="spellEnd"/>
      <w:r w:rsidRPr="0090250D">
        <w:rPr>
          <w:kern w:val="2"/>
        </w:rPr>
        <w:t xml:space="preserve"> será de 10 (dez) dias úteis a contar da liberação dada pela Secretaria da Fazenda.</w:t>
      </w:r>
    </w:p>
    <w:p w:rsidR="0090250D" w:rsidRPr="0090250D" w:rsidRDefault="0090250D" w:rsidP="0090250D">
      <w:pPr>
        <w:widowControl w:val="0"/>
        <w:suppressAutoHyphens/>
        <w:jc w:val="both"/>
        <w:rPr>
          <w:kern w:val="2"/>
        </w:rPr>
      </w:pPr>
      <w:r w:rsidRPr="0090250D">
        <w:rPr>
          <w:kern w:val="2"/>
        </w:rPr>
        <w:t xml:space="preserve">        </w:t>
      </w:r>
    </w:p>
    <w:p w:rsidR="0090250D" w:rsidRPr="0090250D" w:rsidRDefault="0090250D" w:rsidP="0090250D">
      <w:pPr>
        <w:widowControl w:val="0"/>
        <w:tabs>
          <w:tab w:val="left" w:pos="709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 xml:space="preserve">           </w:t>
      </w:r>
      <w:r w:rsidRPr="0090250D">
        <w:rPr>
          <w:b/>
          <w:bCs/>
          <w:kern w:val="2"/>
        </w:rPr>
        <w:t xml:space="preserve"> Art. 4º</w:t>
      </w:r>
      <w:r w:rsidRPr="0090250D">
        <w:rPr>
          <w:kern w:val="2"/>
        </w:rPr>
        <w:t xml:space="preserve"> Após o período de vigência da presente Lei, cessam os incentivos referente a alíquota reduzida.</w:t>
      </w:r>
    </w:p>
    <w:p w:rsidR="0090250D" w:rsidRPr="0090250D" w:rsidRDefault="0090250D" w:rsidP="0090250D">
      <w:pPr>
        <w:widowControl w:val="0"/>
        <w:suppressAutoHyphens/>
        <w:jc w:val="both"/>
        <w:rPr>
          <w:kern w:val="2"/>
        </w:rPr>
      </w:pPr>
    </w:p>
    <w:p w:rsidR="0090250D" w:rsidRPr="0090250D" w:rsidRDefault="0090250D" w:rsidP="0090250D">
      <w:pPr>
        <w:widowControl w:val="0"/>
        <w:suppressAutoHyphens/>
        <w:ind w:firstLine="709"/>
        <w:jc w:val="both"/>
        <w:rPr>
          <w:kern w:val="2"/>
        </w:rPr>
      </w:pPr>
      <w:r w:rsidRPr="0090250D">
        <w:rPr>
          <w:b/>
          <w:bCs/>
          <w:kern w:val="2"/>
        </w:rPr>
        <w:t>Art. 5º</w:t>
      </w:r>
      <w:r w:rsidRPr="0090250D">
        <w:rPr>
          <w:kern w:val="2"/>
        </w:rPr>
        <w:t xml:space="preserve">   Esta Lei entra em vigor na data de sua publicação.</w:t>
      </w:r>
    </w:p>
    <w:p w:rsidR="0087586C" w:rsidRDefault="0087586C" w:rsidP="0090250D">
      <w:pPr>
        <w:widowControl w:val="0"/>
        <w:suppressAutoHyphens/>
        <w:jc w:val="both"/>
        <w:rPr>
          <w:b/>
        </w:rPr>
      </w:pPr>
    </w:p>
    <w:p w:rsidR="00754C1C" w:rsidRDefault="002D245B" w:rsidP="00086A8E">
      <w:pPr>
        <w:jc w:val="center"/>
      </w:pPr>
      <w:r w:rsidRPr="005352AA">
        <w:rPr>
          <w:b/>
        </w:rPr>
        <w:t>SALA DAS SESSÕES</w:t>
      </w:r>
      <w:r w:rsidRPr="009C6F48">
        <w:t xml:space="preserve">, em </w:t>
      </w:r>
      <w:r w:rsidR="008B090A">
        <w:t>13</w:t>
      </w:r>
      <w:r w:rsidRPr="009C6F48">
        <w:t xml:space="preserve"> de</w:t>
      </w:r>
      <w:r w:rsidR="00CF16CA">
        <w:t xml:space="preserve"> </w:t>
      </w:r>
      <w:r w:rsidR="008B090A">
        <w:t>novembro</w:t>
      </w:r>
      <w:r>
        <w:t xml:space="preserve"> </w:t>
      </w:r>
      <w:r w:rsidRPr="009C6F48">
        <w:t>de 20</w:t>
      </w:r>
      <w:r w:rsidR="006407ED">
        <w:t>2</w:t>
      </w:r>
      <w:r w:rsidR="008B090A">
        <w:t>3</w:t>
      </w:r>
      <w:r w:rsidRPr="009C6F48">
        <w:t>.</w:t>
      </w:r>
    </w:p>
    <w:p w:rsidR="0090250D" w:rsidRDefault="0090250D" w:rsidP="00086A8E">
      <w:pPr>
        <w:jc w:val="center"/>
      </w:pPr>
    </w:p>
    <w:p w:rsidR="0087586C" w:rsidRPr="00941020" w:rsidRDefault="0087586C" w:rsidP="00402CFF"/>
    <w:p w:rsidR="001E01D2" w:rsidRPr="00941020" w:rsidRDefault="007F2788" w:rsidP="00754C1C">
      <w:pPr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:rsidR="008B090A" w:rsidRDefault="008B090A" w:rsidP="008B090A">
      <w:pPr>
        <w:rPr>
          <w:sz w:val="22"/>
          <w:szCs w:val="22"/>
        </w:rPr>
      </w:pPr>
    </w:p>
    <w:p w:rsidR="008B090A" w:rsidRDefault="008B090A" w:rsidP="008B090A">
      <w:r>
        <w:rPr>
          <w:sz w:val="22"/>
          <w:szCs w:val="22"/>
        </w:rPr>
        <w:t>RENATO SOUZA – MDB – PRESIDENTE:___________________________________________</w:t>
      </w:r>
    </w:p>
    <w:p w:rsidR="008B090A" w:rsidRDefault="008B090A" w:rsidP="008B090A">
      <w:pPr>
        <w:rPr>
          <w:sz w:val="22"/>
          <w:szCs w:val="22"/>
        </w:rPr>
      </w:pPr>
    </w:p>
    <w:p w:rsidR="008B090A" w:rsidRDefault="008B090A" w:rsidP="008B090A">
      <w:pPr>
        <w:rPr>
          <w:sz w:val="22"/>
          <w:szCs w:val="22"/>
        </w:rPr>
      </w:pPr>
      <w:r>
        <w:rPr>
          <w:sz w:val="22"/>
          <w:szCs w:val="22"/>
        </w:rPr>
        <w:t xml:space="preserve">JAIR </w:t>
      </w:r>
      <w:proofErr w:type="gramStart"/>
      <w:r>
        <w:rPr>
          <w:sz w:val="22"/>
          <w:szCs w:val="22"/>
        </w:rPr>
        <w:t>ARDENCHY -PTB</w:t>
      </w:r>
      <w:proofErr w:type="gramEnd"/>
      <w:r>
        <w:rPr>
          <w:sz w:val="22"/>
          <w:szCs w:val="22"/>
        </w:rPr>
        <w:t>-VICE-PRESIDENTE_________________________________________</w:t>
      </w:r>
    </w:p>
    <w:p w:rsidR="008B090A" w:rsidRDefault="008B090A" w:rsidP="008B090A">
      <w:pPr>
        <w:rPr>
          <w:sz w:val="22"/>
          <w:szCs w:val="22"/>
        </w:rPr>
      </w:pPr>
    </w:p>
    <w:p w:rsidR="00CE69CF" w:rsidRPr="00941020" w:rsidRDefault="008B090A" w:rsidP="008B090A">
      <w:pPr>
        <w:rPr>
          <w:kern w:val="28"/>
          <w:lang w:eastAsia="zh-CN"/>
        </w:rPr>
      </w:pPr>
      <w:r>
        <w:rPr>
          <w:sz w:val="22"/>
          <w:szCs w:val="22"/>
        </w:rPr>
        <w:t>ÉMERSON VIDAL FERREIRA - PSDB:______________________________________________</w:t>
      </w:r>
      <w:bookmarkStart w:id="0" w:name="_GoBack"/>
      <w:bookmarkEnd w:id="0"/>
    </w:p>
    <w:sectPr w:rsidR="00CE69CF" w:rsidRPr="00941020" w:rsidSect="00941020">
      <w:headerReference w:type="default" r:id="rId9"/>
      <w:footerReference w:type="default" r:id="rId10"/>
      <w:pgSz w:w="11906" w:h="16838"/>
      <w:pgMar w:top="709" w:right="1133" w:bottom="1560" w:left="127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FB" w:rsidRDefault="007848FB" w:rsidP="00CE69CF">
      <w:r>
        <w:separator/>
      </w:r>
    </w:p>
  </w:endnote>
  <w:endnote w:type="continuationSeparator" w:id="0">
    <w:p w:rsidR="007848FB" w:rsidRDefault="007848F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FB" w:rsidRDefault="007848FB" w:rsidP="00CE69CF">
      <w:r>
        <w:separator/>
      </w:r>
    </w:p>
  </w:footnote>
  <w:footnote w:type="continuationSeparator" w:id="0">
    <w:p w:rsidR="007848FB" w:rsidRDefault="007848F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Default="000E5ABB" w:rsidP="00941020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85"/>
    <w:rsid w:val="000151FE"/>
    <w:rsid w:val="00051F3F"/>
    <w:rsid w:val="0008009F"/>
    <w:rsid w:val="00086A8E"/>
    <w:rsid w:val="000A49DB"/>
    <w:rsid w:val="000A5229"/>
    <w:rsid w:val="000C29D2"/>
    <w:rsid w:val="000E5ABB"/>
    <w:rsid w:val="000F6E25"/>
    <w:rsid w:val="001448B1"/>
    <w:rsid w:val="0015351D"/>
    <w:rsid w:val="00175E8E"/>
    <w:rsid w:val="00184618"/>
    <w:rsid w:val="001A0816"/>
    <w:rsid w:val="001A6A3F"/>
    <w:rsid w:val="001B1AE9"/>
    <w:rsid w:val="001C16EF"/>
    <w:rsid w:val="001D418E"/>
    <w:rsid w:val="001E01D2"/>
    <w:rsid w:val="001E1384"/>
    <w:rsid w:val="00210CF6"/>
    <w:rsid w:val="00211368"/>
    <w:rsid w:val="00247FF1"/>
    <w:rsid w:val="00251273"/>
    <w:rsid w:val="00291A79"/>
    <w:rsid w:val="002C61C1"/>
    <w:rsid w:val="002D245B"/>
    <w:rsid w:val="002E7452"/>
    <w:rsid w:val="002F4776"/>
    <w:rsid w:val="00347EE6"/>
    <w:rsid w:val="00362B81"/>
    <w:rsid w:val="00365528"/>
    <w:rsid w:val="00385462"/>
    <w:rsid w:val="003902DC"/>
    <w:rsid w:val="003A4377"/>
    <w:rsid w:val="00402CFF"/>
    <w:rsid w:val="004272EB"/>
    <w:rsid w:val="00436285"/>
    <w:rsid w:val="0043743A"/>
    <w:rsid w:val="00454752"/>
    <w:rsid w:val="004630FA"/>
    <w:rsid w:val="004A4681"/>
    <w:rsid w:val="004B0BB7"/>
    <w:rsid w:val="004C3B02"/>
    <w:rsid w:val="004C3BE2"/>
    <w:rsid w:val="004F3096"/>
    <w:rsid w:val="004F3705"/>
    <w:rsid w:val="00500FDE"/>
    <w:rsid w:val="00511A6E"/>
    <w:rsid w:val="0053462C"/>
    <w:rsid w:val="00550B21"/>
    <w:rsid w:val="005813F9"/>
    <w:rsid w:val="00604CED"/>
    <w:rsid w:val="006407ED"/>
    <w:rsid w:val="00646838"/>
    <w:rsid w:val="006563E7"/>
    <w:rsid w:val="006910B0"/>
    <w:rsid w:val="006C0052"/>
    <w:rsid w:val="006D0F1D"/>
    <w:rsid w:val="006D49DD"/>
    <w:rsid w:val="006E02CD"/>
    <w:rsid w:val="006E0E6F"/>
    <w:rsid w:val="007006CD"/>
    <w:rsid w:val="00710F02"/>
    <w:rsid w:val="00715A0F"/>
    <w:rsid w:val="00754C1C"/>
    <w:rsid w:val="007848FB"/>
    <w:rsid w:val="007A0AD9"/>
    <w:rsid w:val="007B50C6"/>
    <w:rsid w:val="007C33AF"/>
    <w:rsid w:val="007E5510"/>
    <w:rsid w:val="007F2788"/>
    <w:rsid w:val="0081053C"/>
    <w:rsid w:val="0083573B"/>
    <w:rsid w:val="00845379"/>
    <w:rsid w:val="0087200A"/>
    <w:rsid w:val="0087542E"/>
    <w:rsid w:val="0087586C"/>
    <w:rsid w:val="008907C3"/>
    <w:rsid w:val="008A3433"/>
    <w:rsid w:val="008A5FC2"/>
    <w:rsid w:val="008B090A"/>
    <w:rsid w:val="008C0C7B"/>
    <w:rsid w:val="008C4C07"/>
    <w:rsid w:val="008E356A"/>
    <w:rsid w:val="0090250D"/>
    <w:rsid w:val="00906B69"/>
    <w:rsid w:val="0093587B"/>
    <w:rsid w:val="00941020"/>
    <w:rsid w:val="00944198"/>
    <w:rsid w:val="00967F4C"/>
    <w:rsid w:val="0097122E"/>
    <w:rsid w:val="00972722"/>
    <w:rsid w:val="00987426"/>
    <w:rsid w:val="009917F8"/>
    <w:rsid w:val="009A6F92"/>
    <w:rsid w:val="009A797C"/>
    <w:rsid w:val="00A358FB"/>
    <w:rsid w:val="00A44195"/>
    <w:rsid w:val="00A63D37"/>
    <w:rsid w:val="00A65B5A"/>
    <w:rsid w:val="00A72C32"/>
    <w:rsid w:val="00A9227A"/>
    <w:rsid w:val="00AE3A1E"/>
    <w:rsid w:val="00B01339"/>
    <w:rsid w:val="00B04F47"/>
    <w:rsid w:val="00B27E12"/>
    <w:rsid w:val="00B34219"/>
    <w:rsid w:val="00B4552F"/>
    <w:rsid w:val="00B466E4"/>
    <w:rsid w:val="00B52C4B"/>
    <w:rsid w:val="00BA2C5A"/>
    <w:rsid w:val="00BB205C"/>
    <w:rsid w:val="00BF34CE"/>
    <w:rsid w:val="00C454A9"/>
    <w:rsid w:val="00C57882"/>
    <w:rsid w:val="00C90281"/>
    <w:rsid w:val="00CE0951"/>
    <w:rsid w:val="00CE69CF"/>
    <w:rsid w:val="00CF16CA"/>
    <w:rsid w:val="00CF18AF"/>
    <w:rsid w:val="00CF5297"/>
    <w:rsid w:val="00D47872"/>
    <w:rsid w:val="00D519F4"/>
    <w:rsid w:val="00D64E33"/>
    <w:rsid w:val="00DA3B5B"/>
    <w:rsid w:val="00DC1368"/>
    <w:rsid w:val="00DC2EE8"/>
    <w:rsid w:val="00DE68A6"/>
    <w:rsid w:val="00DE7075"/>
    <w:rsid w:val="00E274FD"/>
    <w:rsid w:val="00E3242C"/>
    <w:rsid w:val="00E40529"/>
    <w:rsid w:val="00E470E7"/>
    <w:rsid w:val="00E514D2"/>
    <w:rsid w:val="00E66D49"/>
    <w:rsid w:val="00E67234"/>
    <w:rsid w:val="00E70C7B"/>
    <w:rsid w:val="00EF6226"/>
    <w:rsid w:val="00F02524"/>
    <w:rsid w:val="00F0624E"/>
    <w:rsid w:val="00F21C17"/>
    <w:rsid w:val="00F40156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5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5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8D5AB-8A51-49CE-B50F-E466B579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Vagner</cp:lastModifiedBy>
  <cp:revision>2</cp:revision>
  <cp:lastPrinted>2022-04-26T12:10:00Z</cp:lastPrinted>
  <dcterms:created xsi:type="dcterms:W3CDTF">2023-11-12T22:56:00Z</dcterms:created>
  <dcterms:modified xsi:type="dcterms:W3CDTF">2023-11-12T22:56:00Z</dcterms:modified>
</cp:coreProperties>
</file>